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1C7D3" w14:textId="77777777" w:rsidR="00EF2A62" w:rsidRPr="0066030A" w:rsidRDefault="00EF2A62" w:rsidP="00271E5C">
      <w:pPr>
        <w:spacing w:before="0" w:line="240" w:lineRule="auto"/>
        <w:jc w:val="center"/>
        <w:rPr>
          <w:rFonts w:ascii="Times New Roman" w:hAnsi="Times New Roman"/>
          <w:b/>
          <w:sz w:val="24"/>
          <w:szCs w:val="24"/>
        </w:rPr>
      </w:pPr>
      <w:r w:rsidRPr="0066030A">
        <w:rPr>
          <w:rFonts w:ascii="Times New Roman" w:hAnsi="Times New Roman"/>
          <w:b/>
          <w:sz w:val="24"/>
          <w:szCs w:val="24"/>
        </w:rPr>
        <w:t>POSITION PAPER OF POWER &amp; ENERGY WORKING GROUP</w:t>
      </w:r>
    </w:p>
    <w:p w14:paraId="7A0BD638" w14:textId="77777777" w:rsidR="00EF2A62" w:rsidRPr="0066030A" w:rsidRDefault="00EF2A62" w:rsidP="00271E5C">
      <w:pPr>
        <w:spacing w:before="0" w:line="240" w:lineRule="auto"/>
        <w:jc w:val="both"/>
        <w:rPr>
          <w:rFonts w:ascii="Times New Roman" w:hAnsi="Times New Roman"/>
          <w:sz w:val="24"/>
          <w:szCs w:val="24"/>
        </w:rPr>
      </w:pPr>
      <w:bookmarkStart w:id="0" w:name="_GoBack"/>
      <w:bookmarkEnd w:id="0"/>
    </w:p>
    <w:p w14:paraId="33262A31" w14:textId="77777777" w:rsidR="0000515D" w:rsidRPr="0066030A" w:rsidRDefault="00271E5C" w:rsidP="00271E5C">
      <w:pPr>
        <w:spacing w:before="0" w:line="240" w:lineRule="auto"/>
        <w:jc w:val="center"/>
        <w:rPr>
          <w:rFonts w:ascii="Times New Roman" w:hAnsi="Times New Roman"/>
          <w:b/>
          <w:sz w:val="24"/>
          <w:szCs w:val="24"/>
        </w:rPr>
      </w:pPr>
      <w:r w:rsidRPr="0066030A">
        <w:rPr>
          <w:rFonts w:ascii="Times New Roman" w:hAnsi="Times New Roman"/>
          <w:b/>
          <w:sz w:val="24"/>
          <w:szCs w:val="24"/>
        </w:rPr>
        <w:t xml:space="preserve">FINANCING A SUSTAINABLE ENERGY MARKET – A PRIVATE </w:t>
      </w:r>
    </w:p>
    <w:p w14:paraId="5A2D596A" w14:textId="77777777" w:rsidR="00EF2A62" w:rsidRPr="0066030A" w:rsidRDefault="00271E5C" w:rsidP="00271E5C">
      <w:pPr>
        <w:spacing w:before="0" w:line="240" w:lineRule="auto"/>
        <w:jc w:val="center"/>
        <w:rPr>
          <w:rFonts w:ascii="Times New Roman" w:hAnsi="Times New Roman"/>
          <w:b/>
          <w:sz w:val="24"/>
          <w:szCs w:val="24"/>
        </w:rPr>
      </w:pPr>
      <w:r w:rsidRPr="0066030A">
        <w:rPr>
          <w:rFonts w:ascii="Times New Roman" w:hAnsi="Times New Roman"/>
          <w:b/>
          <w:sz w:val="24"/>
          <w:szCs w:val="24"/>
        </w:rPr>
        <w:t>SECTOR INVESTED, LOW COST, CLEAN ENERGY MARKET</w:t>
      </w:r>
    </w:p>
    <w:p w14:paraId="18CC1984" w14:textId="77777777" w:rsidR="00271E5C" w:rsidRPr="0066030A" w:rsidRDefault="00271E5C" w:rsidP="00271E5C">
      <w:pPr>
        <w:spacing w:before="0" w:line="240" w:lineRule="auto"/>
        <w:jc w:val="right"/>
        <w:rPr>
          <w:rFonts w:ascii="Times New Roman" w:hAnsi="Times New Roman"/>
          <w:i/>
          <w:sz w:val="24"/>
          <w:szCs w:val="24"/>
        </w:rPr>
      </w:pPr>
    </w:p>
    <w:p w14:paraId="68FBA6E8" w14:textId="77777777" w:rsidR="003B526A" w:rsidRPr="0066030A" w:rsidRDefault="00271E5C" w:rsidP="00271E5C">
      <w:pPr>
        <w:spacing w:before="0" w:line="240" w:lineRule="auto"/>
        <w:jc w:val="right"/>
        <w:rPr>
          <w:rFonts w:ascii="Times New Roman" w:hAnsi="Times New Roman"/>
          <w:i/>
          <w:sz w:val="24"/>
          <w:szCs w:val="24"/>
        </w:rPr>
      </w:pPr>
      <w:r w:rsidRPr="0066030A">
        <w:rPr>
          <w:rFonts w:ascii="Times New Roman" w:hAnsi="Times New Roman"/>
          <w:i/>
          <w:sz w:val="24"/>
          <w:szCs w:val="24"/>
        </w:rPr>
        <w:t>Prepared by Power &amp; Energy WG</w:t>
      </w:r>
    </w:p>
    <w:p w14:paraId="193EF6D6" w14:textId="77777777" w:rsidR="0066030A" w:rsidRPr="0066030A" w:rsidRDefault="0066030A" w:rsidP="0066030A">
      <w:pPr>
        <w:spacing w:before="0" w:line="240" w:lineRule="auto"/>
        <w:jc w:val="both"/>
        <w:rPr>
          <w:rFonts w:ascii="Times New Roman" w:hAnsi="Times New Roman"/>
          <w:sz w:val="24"/>
          <w:szCs w:val="24"/>
        </w:rPr>
      </w:pPr>
    </w:p>
    <w:p w14:paraId="1F904071" w14:textId="77777777" w:rsidR="0066030A" w:rsidRPr="006F1943" w:rsidRDefault="0066030A" w:rsidP="006F1943">
      <w:pPr>
        <w:pStyle w:val="ListParagraph"/>
        <w:numPr>
          <w:ilvl w:val="0"/>
          <w:numId w:val="32"/>
        </w:numPr>
        <w:spacing w:before="0" w:line="240" w:lineRule="auto"/>
        <w:jc w:val="both"/>
        <w:rPr>
          <w:rFonts w:ascii="Times New Roman" w:hAnsi="Times New Roman"/>
          <w:b/>
          <w:sz w:val="24"/>
          <w:szCs w:val="24"/>
        </w:rPr>
      </w:pPr>
      <w:r w:rsidRPr="006F1943">
        <w:rPr>
          <w:rFonts w:ascii="Times New Roman" w:hAnsi="Times New Roman"/>
          <w:b/>
          <w:sz w:val="24"/>
          <w:szCs w:val="24"/>
        </w:rPr>
        <w:t>Power Master Plan 8</w:t>
      </w:r>
    </w:p>
    <w:p w14:paraId="7C04FA93" w14:textId="77777777" w:rsidR="006F1943" w:rsidRDefault="006F1943" w:rsidP="0066030A">
      <w:pPr>
        <w:spacing w:before="0" w:line="240" w:lineRule="auto"/>
        <w:jc w:val="both"/>
        <w:rPr>
          <w:rFonts w:ascii="Times New Roman" w:hAnsi="Times New Roman"/>
          <w:sz w:val="24"/>
          <w:szCs w:val="24"/>
        </w:rPr>
      </w:pPr>
    </w:p>
    <w:p w14:paraId="660DDD33" w14:textId="43B6C463" w:rsidR="0066030A" w:rsidRPr="0066030A" w:rsidRDefault="0066030A" w:rsidP="0066030A">
      <w:pPr>
        <w:spacing w:before="0" w:line="240" w:lineRule="auto"/>
        <w:jc w:val="both"/>
        <w:rPr>
          <w:rFonts w:ascii="Times New Roman" w:hAnsi="Times New Roman"/>
          <w:sz w:val="24"/>
          <w:szCs w:val="24"/>
        </w:rPr>
      </w:pPr>
      <w:r w:rsidRPr="0066030A">
        <w:rPr>
          <w:rFonts w:ascii="Times New Roman" w:hAnsi="Times New Roman"/>
          <w:sz w:val="24"/>
          <w:szCs w:val="24"/>
        </w:rPr>
        <w:t xml:space="preserve">VBF welcomes and would like to participate in the analysis and recommendations for Power Master Plan 8 (PMP8). </w:t>
      </w:r>
      <w:r w:rsidR="00D1335C">
        <w:rPr>
          <w:rFonts w:ascii="Times New Roman" w:hAnsi="Times New Roman"/>
          <w:sz w:val="24"/>
          <w:szCs w:val="24"/>
        </w:rPr>
        <w:t>A key issue is to design PMP8 to encourage and enable linkages between international finance and technology with domestic banks and company know-how, and to develop a market with attract major corporations and SMEs alike.</w:t>
      </w:r>
      <w:r w:rsidR="005154D8">
        <w:rPr>
          <w:rFonts w:ascii="Times New Roman" w:hAnsi="Times New Roman"/>
          <w:sz w:val="24"/>
          <w:szCs w:val="24"/>
        </w:rPr>
        <w:t xml:space="preserve">  </w:t>
      </w:r>
    </w:p>
    <w:p w14:paraId="3CEBDAD9" w14:textId="157750F5" w:rsidR="0066030A" w:rsidRDefault="0066030A" w:rsidP="0066030A">
      <w:pPr>
        <w:spacing w:before="0" w:line="240" w:lineRule="auto"/>
        <w:jc w:val="both"/>
        <w:rPr>
          <w:rFonts w:ascii="Times New Roman" w:hAnsi="Times New Roman"/>
          <w:sz w:val="24"/>
          <w:szCs w:val="24"/>
        </w:rPr>
      </w:pPr>
    </w:p>
    <w:p w14:paraId="1D6987E5" w14:textId="6F7041AA" w:rsidR="00D1335C" w:rsidRPr="00D1335C" w:rsidRDefault="00D1335C" w:rsidP="0066030A">
      <w:pPr>
        <w:spacing w:before="0" w:line="240" w:lineRule="auto"/>
        <w:jc w:val="both"/>
        <w:rPr>
          <w:rFonts w:ascii="Times New Roman" w:hAnsi="Times New Roman"/>
          <w:b/>
          <w:sz w:val="24"/>
          <w:szCs w:val="24"/>
        </w:rPr>
      </w:pPr>
      <w:r w:rsidRPr="00D1335C">
        <w:rPr>
          <w:rFonts w:ascii="Times New Roman" w:hAnsi="Times New Roman"/>
          <w:b/>
          <w:sz w:val="24"/>
          <w:szCs w:val="24"/>
        </w:rPr>
        <w:t>PMP8 PPA</w:t>
      </w:r>
    </w:p>
    <w:p w14:paraId="51CA0740" w14:textId="77777777" w:rsidR="0066030A" w:rsidRPr="0066030A" w:rsidRDefault="0066030A" w:rsidP="0066030A">
      <w:pPr>
        <w:spacing w:before="0" w:line="240" w:lineRule="auto"/>
        <w:jc w:val="both"/>
        <w:rPr>
          <w:rFonts w:ascii="Times New Roman" w:hAnsi="Times New Roman"/>
          <w:sz w:val="24"/>
          <w:szCs w:val="24"/>
        </w:rPr>
      </w:pPr>
    </w:p>
    <w:p w14:paraId="3764149B" w14:textId="6CAFCCCF" w:rsidR="00D1335C" w:rsidRPr="00D1335C" w:rsidRDefault="00D1335C" w:rsidP="00D1335C">
      <w:pPr>
        <w:spacing w:before="0" w:line="240" w:lineRule="auto"/>
        <w:jc w:val="both"/>
        <w:rPr>
          <w:rFonts w:ascii="Times New Roman" w:hAnsi="Times New Roman"/>
          <w:sz w:val="24"/>
          <w:szCs w:val="24"/>
        </w:rPr>
      </w:pPr>
      <w:r w:rsidRPr="0066030A">
        <w:rPr>
          <w:rFonts w:ascii="Times New Roman" w:hAnsi="Times New Roman"/>
          <w:sz w:val="24"/>
          <w:szCs w:val="24"/>
        </w:rPr>
        <w:t>One key issue for PMP8 is MOIT’s consideration on improvements for the solar power market and improvements for the key terms of the model solar PPA that might apply from 1</w:t>
      </w:r>
      <w:r w:rsidRPr="0066030A">
        <w:rPr>
          <w:rFonts w:ascii="Times New Roman" w:hAnsi="Times New Roman"/>
          <w:sz w:val="24"/>
          <w:szCs w:val="24"/>
          <w:vertAlign w:val="superscript"/>
        </w:rPr>
        <w:t>st</w:t>
      </w:r>
      <w:r w:rsidRPr="0066030A">
        <w:rPr>
          <w:rFonts w:ascii="Times New Roman" w:hAnsi="Times New Roman"/>
          <w:sz w:val="24"/>
          <w:szCs w:val="24"/>
        </w:rPr>
        <w:t xml:space="preserve"> July 2019. </w:t>
      </w:r>
      <w:r>
        <w:rPr>
          <w:rFonts w:ascii="Times New Roman" w:hAnsi="Times New Roman"/>
          <w:sz w:val="24"/>
          <w:szCs w:val="24"/>
        </w:rPr>
        <w:t xml:space="preserve"> </w:t>
      </w:r>
      <w:r w:rsidRPr="00D1335C">
        <w:rPr>
          <w:rFonts w:ascii="Times New Roman" w:hAnsi="Times New Roman"/>
          <w:sz w:val="24"/>
          <w:szCs w:val="24"/>
        </w:rPr>
        <w:t xml:space="preserve">We estimate that if the PPA is improved to meet the standard acceptable to international and domestic banks, the financing costs of solar power plants </w:t>
      </w:r>
      <w:r w:rsidR="00757691">
        <w:rPr>
          <w:rFonts w:ascii="Times New Roman" w:hAnsi="Times New Roman"/>
          <w:sz w:val="24"/>
          <w:szCs w:val="24"/>
        </w:rPr>
        <w:t xml:space="preserve">could </w:t>
      </w:r>
      <w:r w:rsidR="00757691" w:rsidRPr="00D1335C">
        <w:rPr>
          <w:rFonts w:ascii="Times New Roman" w:hAnsi="Times New Roman"/>
          <w:sz w:val="24"/>
          <w:szCs w:val="24"/>
        </w:rPr>
        <w:t>reduce</w:t>
      </w:r>
      <w:r w:rsidRPr="00D1335C">
        <w:rPr>
          <w:rFonts w:ascii="Times New Roman" w:hAnsi="Times New Roman"/>
          <w:sz w:val="24"/>
          <w:szCs w:val="24"/>
        </w:rPr>
        <w:t xml:space="preserve"> and a Feed in Tariff cents would attract $2</w:t>
      </w:r>
      <w:r>
        <w:rPr>
          <w:rFonts w:ascii="Times New Roman" w:hAnsi="Times New Roman"/>
          <w:sz w:val="24"/>
          <w:szCs w:val="24"/>
        </w:rPr>
        <w:t xml:space="preserve"> </w:t>
      </w:r>
      <w:r w:rsidRPr="00D1335C">
        <w:rPr>
          <w:rFonts w:ascii="Times New Roman" w:hAnsi="Times New Roman"/>
          <w:sz w:val="24"/>
          <w:szCs w:val="24"/>
        </w:rPr>
        <w:t>billion of FDI in solar energy by 2020.</w:t>
      </w:r>
    </w:p>
    <w:p w14:paraId="202AD662" w14:textId="77777777" w:rsidR="00D1335C" w:rsidRDefault="00D1335C" w:rsidP="0066030A">
      <w:pPr>
        <w:spacing w:before="0" w:line="240" w:lineRule="auto"/>
        <w:jc w:val="both"/>
        <w:rPr>
          <w:rFonts w:ascii="Times New Roman" w:hAnsi="Times New Roman"/>
          <w:sz w:val="24"/>
          <w:szCs w:val="24"/>
        </w:rPr>
      </w:pPr>
    </w:p>
    <w:p w14:paraId="4E850528" w14:textId="5467761B" w:rsidR="0066030A" w:rsidRDefault="00D1335C" w:rsidP="0066030A">
      <w:pPr>
        <w:spacing w:before="0" w:line="240" w:lineRule="auto"/>
        <w:jc w:val="both"/>
        <w:rPr>
          <w:rFonts w:ascii="Times New Roman" w:hAnsi="Times New Roman"/>
          <w:sz w:val="24"/>
          <w:szCs w:val="24"/>
        </w:rPr>
      </w:pPr>
      <w:r w:rsidRPr="0066030A">
        <w:rPr>
          <w:rFonts w:ascii="Times New Roman" w:hAnsi="Times New Roman"/>
          <w:sz w:val="24"/>
          <w:szCs w:val="24"/>
        </w:rPr>
        <w:t>VBF recommends that:</w:t>
      </w:r>
    </w:p>
    <w:p w14:paraId="6023A061" w14:textId="77777777" w:rsidR="00D66271" w:rsidRPr="0066030A" w:rsidRDefault="00D66271" w:rsidP="0066030A">
      <w:pPr>
        <w:spacing w:before="0" w:line="240" w:lineRule="auto"/>
        <w:jc w:val="both"/>
        <w:rPr>
          <w:rFonts w:ascii="Times New Roman" w:hAnsi="Times New Roman"/>
          <w:sz w:val="24"/>
          <w:szCs w:val="24"/>
        </w:rPr>
      </w:pPr>
    </w:p>
    <w:p w14:paraId="47317244" w14:textId="77777777" w:rsidR="001246DA" w:rsidRDefault="00D66271" w:rsidP="00D66271">
      <w:pPr>
        <w:pStyle w:val="ListParagraph"/>
        <w:numPr>
          <w:ilvl w:val="0"/>
          <w:numId w:val="1"/>
        </w:numPr>
        <w:spacing w:before="0" w:line="240" w:lineRule="auto"/>
        <w:jc w:val="both"/>
        <w:rPr>
          <w:rFonts w:ascii="Times New Roman" w:hAnsi="Times New Roman"/>
          <w:sz w:val="24"/>
          <w:szCs w:val="24"/>
        </w:rPr>
      </w:pPr>
      <w:r w:rsidRPr="00C2248A">
        <w:rPr>
          <w:rFonts w:ascii="Times New Roman" w:hAnsi="Times New Roman"/>
          <w:sz w:val="24"/>
          <w:szCs w:val="24"/>
        </w:rPr>
        <w:t xml:space="preserve">MOIT </w:t>
      </w:r>
      <w:r w:rsidR="001246DA">
        <w:rPr>
          <w:rFonts w:ascii="Times New Roman" w:hAnsi="Times New Roman"/>
          <w:sz w:val="24"/>
          <w:szCs w:val="24"/>
        </w:rPr>
        <w:t xml:space="preserve">bring the current PPA to international best practise and therefore success with </w:t>
      </w:r>
      <w:r w:rsidRPr="00C2248A">
        <w:rPr>
          <w:rFonts w:ascii="Times New Roman" w:hAnsi="Times New Roman"/>
          <w:sz w:val="24"/>
          <w:szCs w:val="24"/>
        </w:rPr>
        <w:t xml:space="preserve">the three most important </w:t>
      </w:r>
      <w:r>
        <w:rPr>
          <w:rFonts w:ascii="Times New Roman" w:hAnsi="Times New Roman"/>
          <w:sz w:val="24"/>
          <w:szCs w:val="24"/>
        </w:rPr>
        <w:t xml:space="preserve">improvements and </w:t>
      </w:r>
      <w:r w:rsidRPr="00C2248A">
        <w:rPr>
          <w:rFonts w:ascii="Times New Roman" w:hAnsi="Times New Roman"/>
          <w:sz w:val="24"/>
          <w:szCs w:val="24"/>
        </w:rPr>
        <w:t xml:space="preserve">amendments to the </w:t>
      </w:r>
      <w:r>
        <w:rPr>
          <w:rFonts w:ascii="Times New Roman" w:hAnsi="Times New Roman"/>
          <w:sz w:val="24"/>
          <w:szCs w:val="24"/>
        </w:rPr>
        <w:t xml:space="preserve">model </w:t>
      </w:r>
      <w:r w:rsidRPr="00C2248A">
        <w:rPr>
          <w:rFonts w:ascii="Times New Roman" w:hAnsi="Times New Roman"/>
          <w:sz w:val="24"/>
          <w:szCs w:val="24"/>
        </w:rPr>
        <w:t xml:space="preserve">solar PPA </w:t>
      </w:r>
      <w:r>
        <w:rPr>
          <w:rFonts w:ascii="Times New Roman" w:hAnsi="Times New Roman"/>
          <w:sz w:val="24"/>
          <w:szCs w:val="24"/>
        </w:rPr>
        <w:t>on</w:t>
      </w:r>
      <w:r w:rsidRPr="00C2248A">
        <w:rPr>
          <w:rFonts w:ascii="Times New Roman" w:hAnsi="Times New Roman"/>
          <w:sz w:val="24"/>
          <w:szCs w:val="24"/>
        </w:rPr>
        <w:t xml:space="preserve"> 1</w:t>
      </w:r>
      <w:r w:rsidRPr="00C2248A">
        <w:rPr>
          <w:rFonts w:ascii="Times New Roman" w:hAnsi="Times New Roman"/>
          <w:sz w:val="24"/>
          <w:szCs w:val="24"/>
          <w:vertAlign w:val="superscript"/>
        </w:rPr>
        <w:t>st</w:t>
      </w:r>
      <w:r w:rsidRPr="00C2248A">
        <w:rPr>
          <w:rFonts w:ascii="Times New Roman" w:hAnsi="Times New Roman"/>
          <w:sz w:val="24"/>
          <w:szCs w:val="24"/>
        </w:rPr>
        <w:t xml:space="preserve"> July 2019</w:t>
      </w:r>
      <w:r w:rsidR="001246DA">
        <w:rPr>
          <w:rFonts w:ascii="Times New Roman" w:hAnsi="Times New Roman"/>
          <w:sz w:val="24"/>
          <w:szCs w:val="24"/>
        </w:rPr>
        <w:t>. I</w:t>
      </w:r>
      <w:r>
        <w:rPr>
          <w:rFonts w:ascii="Times New Roman" w:hAnsi="Times New Roman"/>
          <w:sz w:val="24"/>
          <w:szCs w:val="24"/>
        </w:rPr>
        <w:t xml:space="preserve">ncluding: </w:t>
      </w:r>
    </w:p>
    <w:p w14:paraId="70A85A6D" w14:textId="05A1EDBB" w:rsidR="001246DA" w:rsidRDefault="00D66271" w:rsidP="001246DA">
      <w:pPr>
        <w:pStyle w:val="ListParagraph"/>
        <w:numPr>
          <w:ilvl w:val="0"/>
          <w:numId w:val="36"/>
        </w:numPr>
        <w:spacing w:before="0" w:line="240" w:lineRule="auto"/>
        <w:jc w:val="both"/>
        <w:rPr>
          <w:rFonts w:ascii="Times New Roman" w:hAnsi="Times New Roman"/>
          <w:sz w:val="24"/>
          <w:szCs w:val="24"/>
        </w:rPr>
      </w:pPr>
      <w:r w:rsidRPr="00C2248A">
        <w:rPr>
          <w:rFonts w:ascii="Times New Roman" w:hAnsi="Times New Roman"/>
          <w:sz w:val="24"/>
          <w:szCs w:val="24"/>
        </w:rPr>
        <w:t>Termination</w:t>
      </w:r>
      <w:r>
        <w:rPr>
          <w:rFonts w:ascii="Times New Roman" w:hAnsi="Times New Roman"/>
          <w:sz w:val="24"/>
          <w:szCs w:val="24"/>
        </w:rPr>
        <w:t xml:space="preserve"> payments (Clause 5 of Article 7)</w:t>
      </w:r>
      <w:r w:rsidRPr="00C2248A">
        <w:rPr>
          <w:rFonts w:ascii="Times New Roman" w:hAnsi="Times New Roman"/>
          <w:sz w:val="24"/>
          <w:szCs w:val="24"/>
        </w:rPr>
        <w:t>,</w:t>
      </w:r>
    </w:p>
    <w:p w14:paraId="0BC9BE23" w14:textId="77777777" w:rsidR="001246DA" w:rsidRDefault="00D66271" w:rsidP="001246DA">
      <w:pPr>
        <w:pStyle w:val="ListParagraph"/>
        <w:numPr>
          <w:ilvl w:val="0"/>
          <w:numId w:val="36"/>
        </w:numPr>
        <w:spacing w:before="0" w:line="240" w:lineRule="auto"/>
        <w:jc w:val="both"/>
        <w:rPr>
          <w:rFonts w:ascii="Times New Roman" w:hAnsi="Times New Roman"/>
          <w:sz w:val="24"/>
          <w:szCs w:val="24"/>
        </w:rPr>
      </w:pPr>
      <w:r w:rsidRPr="00C2248A">
        <w:rPr>
          <w:rFonts w:ascii="Times New Roman" w:hAnsi="Times New Roman"/>
          <w:sz w:val="24"/>
          <w:szCs w:val="24"/>
        </w:rPr>
        <w:t>Curtailment</w:t>
      </w:r>
      <w:r>
        <w:rPr>
          <w:rFonts w:ascii="Times New Roman" w:hAnsi="Times New Roman"/>
          <w:sz w:val="24"/>
          <w:szCs w:val="24"/>
        </w:rPr>
        <w:t xml:space="preserve"> and Failure to take or pay by EVN (Clauses 7 and 9 of Article 2)</w:t>
      </w:r>
      <w:r w:rsidRPr="00C2248A">
        <w:rPr>
          <w:rFonts w:ascii="Times New Roman" w:hAnsi="Times New Roman"/>
          <w:sz w:val="24"/>
          <w:szCs w:val="24"/>
        </w:rPr>
        <w:t xml:space="preserve">, </w:t>
      </w:r>
    </w:p>
    <w:p w14:paraId="10233190" w14:textId="77777777" w:rsidR="005A1609" w:rsidRDefault="00D66271" w:rsidP="001246DA">
      <w:pPr>
        <w:pStyle w:val="ListParagraph"/>
        <w:numPr>
          <w:ilvl w:val="0"/>
          <w:numId w:val="36"/>
        </w:numPr>
        <w:spacing w:before="0" w:line="240" w:lineRule="auto"/>
        <w:jc w:val="both"/>
        <w:rPr>
          <w:rFonts w:ascii="Times New Roman" w:hAnsi="Times New Roman"/>
          <w:sz w:val="24"/>
          <w:szCs w:val="24"/>
        </w:rPr>
      </w:pPr>
      <w:r>
        <w:rPr>
          <w:rFonts w:ascii="Times New Roman" w:hAnsi="Times New Roman"/>
          <w:sz w:val="24"/>
          <w:szCs w:val="24"/>
        </w:rPr>
        <w:t xml:space="preserve">Dispute Resolution / </w:t>
      </w:r>
      <w:r w:rsidRPr="00C2248A">
        <w:rPr>
          <w:rFonts w:ascii="Times New Roman" w:hAnsi="Times New Roman"/>
          <w:sz w:val="24"/>
          <w:szCs w:val="24"/>
        </w:rPr>
        <w:t>Arbitration Clauses</w:t>
      </w:r>
      <w:r>
        <w:rPr>
          <w:rFonts w:ascii="Times New Roman" w:hAnsi="Times New Roman"/>
          <w:sz w:val="24"/>
          <w:szCs w:val="24"/>
        </w:rPr>
        <w:t xml:space="preserve"> (Article 8</w:t>
      </w:r>
      <w:r w:rsidRPr="00C2248A">
        <w:rPr>
          <w:rFonts w:ascii="Times New Roman" w:hAnsi="Times New Roman"/>
          <w:sz w:val="24"/>
          <w:szCs w:val="24"/>
        </w:rPr>
        <w:t>)</w:t>
      </w:r>
      <w:r>
        <w:rPr>
          <w:rFonts w:ascii="Times New Roman" w:hAnsi="Times New Roman"/>
          <w:sz w:val="24"/>
          <w:szCs w:val="24"/>
        </w:rPr>
        <w:t xml:space="preserve"> and </w:t>
      </w:r>
    </w:p>
    <w:p w14:paraId="51CC82B4" w14:textId="11AF60D9" w:rsidR="00D66271" w:rsidRDefault="00D66271" w:rsidP="001246DA">
      <w:pPr>
        <w:pStyle w:val="ListParagraph"/>
        <w:numPr>
          <w:ilvl w:val="0"/>
          <w:numId w:val="36"/>
        </w:numPr>
        <w:spacing w:before="0" w:line="240" w:lineRule="auto"/>
        <w:jc w:val="both"/>
        <w:rPr>
          <w:rFonts w:ascii="Times New Roman" w:hAnsi="Times New Roman"/>
          <w:sz w:val="24"/>
          <w:szCs w:val="24"/>
        </w:rPr>
      </w:pPr>
      <w:r>
        <w:rPr>
          <w:rFonts w:ascii="Times New Roman" w:hAnsi="Times New Roman"/>
          <w:sz w:val="24"/>
          <w:szCs w:val="24"/>
        </w:rPr>
        <w:t>extends the application of the Feed-in-Tariff for 20 years from the commercial operation date under the PPA for new solar projects which reach their commercial operation date by 30</w:t>
      </w:r>
      <w:r w:rsidRPr="00275064">
        <w:rPr>
          <w:rFonts w:ascii="Times New Roman" w:hAnsi="Times New Roman"/>
          <w:sz w:val="24"/>
          <w:szCs w:val="24"/>
          <w:vertAlign w:val="superscript"/>
        </w:rPr>
        <w:t>th</w:t>
      </w:r>
      <w:r>
        <w:rPr>
          <w:rFonts w:ascii="Times New Roman" w:hAnsi="Times New Roman"/>
          <w:sz w:val="24"/>
          <w:szCs w:val="24"/>
        </w:rPr>
        <w:t xml:space="preserve"> June </w:t>
      </w:r>
      <w:r w:rsidRPr="001206BE">
        <w:rPr>
          <w:rFonts w:ascii="Times New Roman" w:hAnsi="Times New Roman"/>
          <w:sz w:val="24"/>
          <w:szCs w:val="24"/>
        </w:rPr>
        <w:t>2021 with a</w:t>
      </w:r>
      <w:r>
        <w:rPr>
          <w:rFonts w:ascii="Times New Roman" w:hAnsi="Times New Roman"/>
          <w:sz w:val="24"/>
          <w:szCs w:val="24"/>
        </w:rPr>
        <w:t xml:space="preserve"> reduced Feed in Tariff</w:t>
      </w:r>
    </w:p>
    <w:p w14:paraId="2DBF0896" w14:textId="77777777" w:rsidR="0066030A" w:rsidRPr="0066030A" w:rsidRDefault="0066030A" w:rsidP="0066030A">
      <w:pPr>
        <w:spacing w:before="0" w:line="240" w:lineRule="auto"/>
        <w:jc w:val="both"/>
        <w:rPr>
          <w:rFonts w:ascii="Times New Roman" w:hAnsi="Times New Roman"/>
          <w:sz w:val="24"/>
          <w:szCs w:val="24"/>
        </w:rPr>
      </w:pPr>
    </w:p>
    <w:p w14:paraId="479D0304" w14:textId="72D067CB" w:rsidR="005154D8" w:rsidRDefault="001246DA" w:rsidP="005154D8">
      <w:pPr>
        <w:pStyle w:val="ListParagraph"/>
        <w:numPr>
          <w:ilvl w:val="0"/>
          <w:numId w:val="1"/>
        </w:numPr>
        <w:spacing w:before="0" w:line="240" w:lineRule="auto"/>
        <w:jc w:val="both"/>
        <w:rPr>
          <w:rFonts w:ascii="Times New Roman" w:hAnsi="Times New Roman"/>
          <w:sz w:val="24"/>
          <w:szCs w:val="24"/>
        </w:rPr>
      </w:pPr>
      <w:r>
        <w:rPr>
          <w:rFonts w:ascii="Times New Roman" w:hAnsi="Times New Roman"/>
          <w:sz w:val="24"/>
          <w:szCs w:val="24"/>
        </w:rPr>
        <w:t xml:space="preserve">MOIT enact </w:t>
      </w:r>
      <w:r w:rsidR="0066030A" w:rsidRPr="005154D8">
        <w:rPr>
          <w:rFonts w:ascii="Times New Roman" w:hAnsi="Times New Roman"/>
          <w:sz w:val="24"/>
          <w:szCs w:val="24"/>
        </w:rPr>
        <w:t xml:space="preserve">similar improvements and amendments to the standard PPAs for wind power, biomass and waste to energy. </w:t>
      </w:r>
    </w:p>
    <w:p w14:paraId="6D898D49" w14:textId="77777777" w:rsidR="005154D8" w:rsidRDefault="005154D8" w:rsidP="005154D8">
      <w:pPr>
        <w:pStyle w:val="ListParagraph"/>
      </w:pPr>
    </w:p>
    <w:p w14:paraId="72659716" w14:textId="02882A51" w:rsidR="0066030A" w:rsidRPr="0066030A" w:rsidRDefault="00757691" w:rsidP="0066030A">
      <w:pPr>
        <w:spacing w:before="0" w:line="240" w:lineRule="auto"/>
        <w:jc w:val="both"/>
        <w:rPr>
          <w:rFonts w:ascii="Times New Roman" w:hAnsi="Times New Roman"/>
          <w:sz w:val="24"/>
          <w:szCs w:val="24"/>
        </w:rPr>
      </w:pPr>
      <w:r w:rsidRPr="0066030A">
        <w:rPr>
          <w:rFonts w:ascii="Times New Roman" w:hAnsi="Times New Roman"/>
          <w:sz w:val="24"/>
          <w:szCs w:val="24"/>
        </w:rPr>
        <w:t>Also,</w:t>
      </w:r>
      <w:r w:rsidR="0066030A" w:rsidRPr="0066030A">
        <w:rPr>
          <w:rFonts w:ascii="Times New Roman" w:hAnsi="Times New Roman"/>
          <w:sz w:val="24"/>
          <w:szCs w:val="24"/>
        </w:rPr>
        <w:t xml:space="preserve"> under PMP8, </w:t>
      </w:r>
      <w:r w:rsidR="007D0979">
        <w:rPr>
          <w:rFonts w:ascii="Times New Roman" w:hAnsi="Times New Roman"/>
          <w:sz w:val="24"/>
          <w:szCs w:val="24"/>
        </w:rPr>
        <w:t xml:space="preserve">VBF recommends </w:t>
      </w:r>
      <w:r w:rsidR="0066030A" w:rsidRPr="0066030A">
        <w:rPr>
          <w:rFonts w:ascii="Times New Roman" w:hAnsi="Times New Roman"/>
          <w:sz w:val="24"/>
          <w:szCs w:val="24"/>
        </w:rPr>
        <w:t>that GVN create a market-based electricity pricing system which:</w:t>
      </w:r>
    </w:p>
    <w:p w14:paraId="3E621703" w14:textId="77777777" w:rsidR="0066030A" w:rsidRPr="0066030A" w:rsidRDefault="0066030A" w:rsidP="0066030A">
      <w:pPr>
        <w:spacing w:before="0" w:line="240" w:lineRule="auto"/>
        <w:jc w:val="both"/>
        <w:rPr>
          <w:rFonts w:ascii="Times New Roman" w:hAnsi="Times New Roman"/>
          <w:sz w:val="24"/>
          <w:szCs w:val="24"/>
        </w:rPr>
      </w:pPr>
    </w:p>
    <w:p w14:paraId="541996D8" w14:textId="53AF7E71" w:rsidR="0066030A" w:rsidRPr="0066030A" w:rsidRDefault="0066030A" w:rsidP="0066030A">
      <w:pPr>
        <w:pStyle w:val="ListParagraph"/>
        <w:numPr>
          <w:ilvl w:val="0"/>
          <w:numId w:val="29"/>
        </w:numPr>
        <w:spacing w:before="0" w:line="240" w:lineRule="auto"/>
        <w:ind w:left="360"/>
        <w:jc w:val="both"/>
        <w:rPr>
          <w:rFonts w:ascii="Times New Roman" w:hAnsi="Times New Roman"/>
          <w:sz w:val="24"/>
          <w:szCs w:val="24"/>
        </w:rPr>
      </w:pPr>
      <w:r w:rsidRPr="0066030A">
        <w:rPr>
          <w:rFonts w:ascii="Times New Roman" w:hAnsi="Times New Roman"/>
          <w:sz w:val="24"/>
          <w:szCs w:val="24"/>
        </w:rPr>
        <w:t xml:space="preserve">Continues the socialised pricing </w:t>
      </w:r>
      <w:r w:rsidR="00757691" w:rsidRPr="0066030A">
        <w:rPr>
          <w:rFonts w:ascii="Times New Roman" w:hAnsi="Times New Roman"/>
          <w:sz w:val="24"/>
          <w:szCs w:val="24"/>
        </w:rPr>
        <w:t>system and</w:t>
      </w:r>
      <w:r w:rsidRPr="0066030A">
        <w:rPr>
          <w:rFonts w:ascii="Times New Roman" w:hAnsi="Times New Roman"/>
          <w:sz w:val="24"/>
          <w:szCs w:val="24"/>
        </w:rPr>
        <w:t xml:space="preserve"> supports low income citizens</w:t>
      </w:r>
      <w:r w:rsidR="007D0979">
        <w:rPr>
          <w:rFonts w:ascii="Times New Roman" w:hAnsi="Times New Roman"/>
          <w:sz w:val="24"/>
          <w:szCs w:val="24"/>
        </w:rPr>
        <w:t xml:space="preserve"> while raising the average tariff to market pricing</w:t>
      </w:r>
      <w:r w:rsidRPr="0066030A">
        <w:rPr>
          <w:rFonts w:ascii="Times New Roman" w:hAnsi="Times New Roman"/>
          <w:sz w:val="24"/>
          <w:szCs w:val="24"/>
        </w:rPr>
        <w:t>.</w:t>
      </w:r>
    </w:p>
    <w:p w14:paraId="74BCC49E" w14:textId="77777777" w:rsidR="0066030A" w:rsidRPr="0066030A" w:rsidRDefault="0066030A" w:rsidP="0066030A">
      <w:pPr>
        <w:pStyle w:val="ListParagraph"/>
        <w:numPr>
          <w:ilvl w:val="0"/>
          <w:numId w:val="29"/>
        </w:numPr>
        <w:spacing w:before="0" w:line="240" w:lineRule="auto"/>
        <w:ind w:left="360"/>
        <w:jc w:val="both"/>
        <w:rPr>
          <w:rFonts w:ascii="Times New Roman" w:hAnsi="Times New Roman"/>
          <w:sz w:val="24"/>
          <w:szCs w:val="24"/>
        </w:rPr>
      </w:pPr>
      <w:r w:rsidRPr="0066030A">
        <w:rPr>
          <w:rFonts w:ascii="Times New Roman" w:hAnsi="Times New Roman"/>
          <w:sz w:val="24"/>
          <w:szCs w:val="24"/>
        </w:rPr>
        <w:t>Reduces the need for government guarantees.</w:t>
      </w:r>
    </w:p>
    <w:p w14:paraId="08CFCDAC" w14:textId="77777777" w:rsidR="0066030A" w:rsidRPr="0066030A" w:rsidRDefault="0066030A" w:rsidP="0066030A">
      <w:pPr>
        <w:pStyle w:val="ListParagraph"/>
        <w:numPr>
          <w:ilvl w:val="0"/>
          <w:numId w:val="29"/>
        </w:numPr>
        <w:spacing w:before="0" w:line="240" w:lineRule="auto"/>
        <w:ind w:left="360"/>
        <w:jc w:val="both"/>
        <w:rPr>
          <w:rFonts w:ascii="Times New Roman" w:hAnsi="Times New Roman"/>
          <w:sz w:val="24"/>
          <w:szCs w:val="24"/>
        </w:rPr>
      </w:pPr>
      <w:r w:rsidRPr="0066030A">
        <w:rPr>
          <w:rFonts w:ascii="Times New Roman" w:hAnsi="Times New Roman"/>
          <w:sz w:val="24"/>
          <w:szCs w:val="24"/>
        </w:rPr>
        <w:t>Discourages electricity wastefulness.</w:t>
      </w:r>
    </w:p>
    <w:p w14:paraId="27120518" w14:textId="77777777" w:rsidR="0066030A" w:rsidRPr="0066030A" w:rsidRDefault="0066030A" w:rsidP="0066030A">
      <w:pPr>
        <w:pStyle w:val="ListParagraph"/>
        <w:numPr>
          <w:ilvl w:val="0"/>
          <w:numId w:val="29"/>
        </w:numPr>
        <w:spacing w:before="0" w:line="240" w:lineRule="auto"/>
        <w:ind w:left="360"/>
        <w:jc w:val="both"/>
        <w:rPr>
          <w:rFonts w:ascii="Times New Roman" w:hAnsi="Times New Roman"/>
          <w:sz w:val="24"/>
          <w:szCs w:val="24"/>
        </w:rPr>
      </w:pPr>
      <w:r w:rsidRPr="0066030A">
        <w:rPr>
          <w:rFonts w:ascii="Times New Roman" w:hAnsi="Times New Roman"/>
          <w:sz w:val="24"/>
          <w:szCs w:val="24"/>
        </w:rPr>
        <w:t xml:space="preserve">Attracts private sector investment in Distributed Clean Energy Generation and Energy Efficiency. </w:t>
      </w:r>
    </w:p>
    <w:p w14:paraId="795A39BD" w14:textId="77777777" w:rsidR="0066030A" w:rsidRPr="0066030A" w:rsidRDefault="0066030A" w:rsidP="0066030A">
      <w:pPr>
        <w:pStyle w:val="ListParagraph"/>
        <w:numPr>
          <w:ilvl w:val="0"/>
          <w:numId w:val="29"/>
        </w:numPr>
        <w:spacing w:before="0" w:line="240" w:lineRule="auto"/>
        <w:ind w:left="360"/>
        <w:jc w:val="both"/>
        <w:rPr>
          <w:rFonts w:ascii="Times New Roman" w:hAnsi="Times New Roman"/>
          <w:sz w:val="24"/>
          <w:szCs w:val="24"/>
        </w:rPr>
      </w:pPr>
      <w:r w:rsidRPr="0066030A">
        <w:rPr>
          <w:rFonts w:ascii="Times New Roman" w:hAnsi="Times New Roman"/>
          <w:sz w:val="24"/>
          <w:szCs w:val="24"/>
        </w:rPr>
        <w:t>Has fair and transparent tariffs for those consumers who can afford to pay the full cost of electricity.</w:t>
      </w:r>
    </w:p>
    <w:p w14:paraId="15660791" w14:textId="77777777" w:rsidR="0066030A" w:rsidRPr="0066030A" w:rsidRDefault="0066030A" w:rsidP="0066030A">
      <w:pPr>
        <w:pStyle w:val="ListParagraph"/>
        <w:spacing w:before="0" w:line="240" w:lineRule="auto"/>
        <w:ind w:left="360"/>
        <w:jc w:val="both"/>
        <w:rPr>
          <w:rFonts w:ascii="Times New Roman" w:hAnsi="Times New Roman"/>
          <w:sz w:val="24"/>
          <w:szCs w:val="24"/>
        </w:rPr>
      </w:pPr>
    </w:p>
    <w:p w14:paraId="03C8E8F8" w14:textId="77777777" w:rsidR="009C3C20" w:rsidRDefault="007D0979" w:rsidP="009C3C20">
      <w:pPr>
        <w:pStyle w:val="ListParagraph"/>
        <w:spacing w:before="0" w:line="240" w:lineRule="auto"/>
        <w:ind w:left="0"/>
        <w:jc w:val="both"/>
        <w:rPr>
          <w:rFonts w:ascii="Times New Roman" w:hAnsi="Times New Roman"/>
          <w:sz w:val="24"/>
          <w:szCs w:val="24"/>
        </w:rPr>
      </w:pPr>
      <w:r>
        <w:rPr>
          <w:rFonts w:ascii="Times New Roman" w:hAnsi="Times New Roman"/>
          <w:sz w:val="24"/>
          <w:szCs w:val="24"/>
        </w:rPr>
        <w:t xml:space="preserve">Electricity Tariff </w:t>
      </w:r>
      <w:r w:rsidR="0066030A" w:rsidRPr="0066030A">
        <w:rPr>
          <w:rFonts w:ascii="Times New Roman" w:hAnsi="Times New Roman"/>
          <w:sz w:val="24"/>
          <w:szCs w:val="24"/>
        </w:rPr>
        <w:t xml:space="preserve">key actions: </w:t>
      </w:r>
    </w:p>
    <w:p w14:paraId="46258E72" w14:textId="77777777" w:rsidR="009C3C20" w:rsidRDefault="009C3C20" w:rsidP="009C3C20">
      <w:pPr>
        <w:pStyle w:val="ListParagraph"/>
        <w:spacing w:before="0" w:line="240" w:lineRule="auto"/>
        <w:ind w:left="0"/>
        <w:jc w:val="both"/>
        <w:rPr>
          <w:rFonts w:ascii="Times New Roman" w:hAnsi="Times New Roman"/>
          <w:sz w:val="24"/>
          <w:szCs w:val="24"/>
        </w:rPr>
      </w:pPr>
    </w:p>
    <w:p w14:paraId="1F7A30E3" w14:textId="2FB0A3B8" w:rsidR="009C3C20" w:rsidRDefault="0066030A" w:rsidP="009C3C20">
      <w:pPr>
        <w:pStyle w:val="ListParagraph"/>
        <w:numPr>
          <w:ilvl w:val="0"/>
          <w:numId w:val="39"/>
        </w:numPr>
        <w:spacing w:before="0" w:line="240" w:lineRule="auto"/>
        <w:jc w:val="both"/>
        <w:rPr>
          <w:rFonts w:ascii="Times New Roman" w:hAnsi="Times New Roman"/>
          <w:sz w:val="24"/>
          <w:szCs w:val="24"/>
        </w:rPr>
      </w:pPr>
      <w:r w:rsidRPr="009C3C20">
        <w:rPr>
          <w:rFonts w:ascii="Times New Roman" w:hAnsi="Times New Roman"/>
          <w:sz w:val="24"/>
          <w:szCs w:val="24"/>
        </w:rPr>
        <w:t xml:space="preserve">Redesign the daytime hourly tariff for Commercial and Industrial (C and I) consumers to reduce the peak demand and the peak load on the transmission system and reduces transmission losses. </w:t>
      </w:r>
    </w:p>
    <w:p w14:paraId="268586FD" w14:textId="77777777" w:rsidR="009C3C20" w:rsidRPr="009C3C20" w:rsidRDefault="009C3C20" w:rsidP="009C3C20">
      <w:pPr>
        <w:pStyle w:val="ListParagraph"/>
        <w:spacing w:before="0" w:line="240" w:lineRule="auto"/>
        <w:jc w:val="both"/>
        <w:rPr>
          <w:rFonts w:ascii="Times New Roman" w:hAnsi="Times New Roman"/>
          <w:sz w:val="24"/>
          <w:szCs w:val="24"/>
        </w:rPr>
      </w:pPr>
    </w:p>
    <w:p w14:paraId="30B397ED" w14:textId="2CBB2883" w:rsidR="0066030A" w:rsidRPr="009C3C20" w:rsidRDefault="0066030A" w:rsidP="009C3C20">
      <w:pPr>
        <w:pStyle w:val="ListParagraph"/>
        <w:numPr>
          <w:ilvl w:val="0"/>
          <w:numId w:val="39"/>
        </w:numPr>
        <w:spacing w:before="0" w:line="240" w:lineRule="auto"/>
        <w:jc w:val="both"/>
        <w:rPr>
          <w:rFonts w:ascii="Times New Roman" w:hAnsi="Times New Roman"/>
          <w:sz w:val="24"/>
          <w:szCs w:val="24"/>
        </w:rPr>
      </w:pPr>
      <w:r w:rsidRPr="009C3C20">
        <w:rPr>
          <w:rFonts w:ascii="Times New Roman" w:hAnsi="Times New Roman"/>
          <w:sz w:val="24"/>
          <w:szCs w:val="24"/>
        </w:rPr>
        <w:t>Create regional variation in retail tariffs to reflect the different regional prices in the wholesale electricity market.</w:t>
      </w:r>
    </w:p>
    <w:p w14:paraId="4DD2D827" w14:textId="77777777" w:rsidR="009C3C20" w:rsidRPr="009C3C20" w:rsidRDefault="009C3C20" w:rsidP="009C3C20">
      <w:pPr>
        <w:spacing w:before="0" w:line="240" w:lineRule="auto"/>
        <w:jc w:val="both"/>
        <w:rPr>
          <w:rFonts w:ascii="Times New Roman" w:hAnsi="Times New Roman"/>
          <w:sz w:val="24"/>
          <w:szCs w:val="24"/>
        </w:rPr>
      </w:pPr>
    </w:p>
    <w:p w14:paraId="74D83437" w14:textId="43400D08" w:rsidR="0066030A" w:rsidRPr="0066030A" w:rsidRDefault="009C3C20" w:rsidP="009C3C20">
      <w:pPr>
        <w:pStyle w:val="ListParagraph"/>
        <w:spacing w:before="0" w:line="240" w:lineRule="auto"/>
        <w:ind w:left="407"/>
        <w:jc w:val="both"/>
        <w:rPr>
          <w:rFonts w:ascii="Times New Roman" w:hAnsi="Times New Roman"/>
          <w:sz w:val="24"/>
          <w:szCs w:val="24"/>
        </w:rPr>
      </w:pPr>
      <w:r>
        <w:rPr>
          <w:rFonts w:ascii="Times New Roman" w:hAnsi="Times New Roman"/>
          <w:sz w:val="24"/>
          <w:szCs w:val="24"/>
        </w:rPr>
        <w:t xml:space="preserve">3)  </w:t>
      </w:r>
      <w:r w:rsidR="0066030A" w:rsidRPr="0066030A">
        <w:rPr>
          <w:rFonts w:ascii="Times New Roman" w:hAnsi="Times New Roman"/>
          <w:sz w:val="24"/>
          <w:szCs w:val="24"/>
        </w:rPr>
        <w:t>Publish a Roadmap to C and I market based electricity tariff to 2020 and 2025 to allow for adjustments and efficiencies.</w:t>
      </w:r>
    </w:p>
    <w:p w14:paraId="25580902" w14:textId="77777777" w:rsidR="006F1943" w:rsidRDefault="006F1943" w:rsidP="0066030A">
      <w:pPr>
        <w:spacing w:before="0" w:line="240" w:lineRule="auto"/>
        <w:jc w:val="both"/>
        <w:rPr>
          <w:rFonts w:ascii="Times New Roman" w:hAnsi="Times New Roman"/>
          <w:sz w:val="24"/>
          <w:szCs w:val="24"/>
        </w:rPr>
      </w:pPr>
    </w:p>
    <w:p w14:paraId="3D5E6246" w14:textId="77777777" w:rsidR="0066030A" w:rsidRPr="0066030A" w:rsidRDefault="0066030A" w:rsidP="0066030A">
      <w:pPr>
        <w:spacing w:before="0" w:line="240" w:lineRule="auto"/>
        <w:jc w:val="both"/>
        <w:rPr>
          <w:rFonts w:ascii="Times New Roman" w:hAnsi="Times New Roman"/>
          <w:sz w:val="24"/>
          <w:szCs w:val="24"/>
        </w:rPr>
      </w:pPr>
      <w:r w:rsidRPr="0066030A">
        <w:rPr>
          <w:rFonts w:ascii="Times New Roman" w:hAnsi="Times New Roman"/>
          <w:sz w:val="24"/>
          <w:szCs w:val="24"/>
        </w:rPr>
        <w:t xml:space="preserve">In preparation for PMP8, VBF will update MVEP report from Nov 2016: </w:t>
      </w:r>
    </w:p>
    <w:p w14:paraId="68ECFB62" w14:textId="77777777" w:rsidR="0066030A" w:rsidRPr="0066030A" w:rsidRDefault="0066030A" w:rsidP="0066030A">
      <w:pPr>
        <w:spacing w:before="0" w:line="240" w:lineRule="auto"/>
        <w:jc w:val="both"/>
        <w:rPr>
          <w:rFonts w:ascii="Times New Roman" w:hAnsi="Times New Roman"/>
          <w:sz w:val="24"/>
          <w:szCs w:val="24"/>
        </w:rPr>
      </w:pPr>
    </w:p>
    <w:p w14:paraId="6674C447" w14:textId="77777777" w:rsidR="0066030A" w:rsidRPr="0066030A" w:rsidRDefault="0066030A" w:rsidP="0066030A">
      <w:pPr>
        <w:pStyle w:val="ListParagraph"/>
        <w:numPr>
          <w:ilvl w:val="0"/>
          <w:numId w:val="30"/>
        </w:numPr>
        <w:spacing w:before="0" w:line="240" w:lineRule="auto"/>
        <w:ind w:left="360"/>
        <w:jc w:val="both"/>
        <w:rPr>
          <w:rFonts w:ascii="Times New Roman" w:hAnsi="Times New Roman"/>
          <w:sz w:val="24"/>
          <w:szCs w:val="24"/>
        </w:rPr>
      </w:pPr>
      <w:r w:rsidRPr="0066030A">
        <w:rPr>
          <w:rFonts w:ascii="Times New Roman" w:hAnsi="Times New Roman"/>
          <w:sz w:val="24"/>
          <w:szCs w:val="24"/>
        </w:rPr>
        <w:t>Include updated analysis and numbers.</w:t>
      </w:r>
    </w:p>
    <w:p w14:paraId="289AC44A" w14:textId="77777777" w:rsidR="0066030A" w:rsidRPr="0066030A" w:rsidRDefault="0066030A" w:rsidP="0066030A">
      <w:pPr>
        <w:pStyle w:val="ListParagraph"/>
        <w:numPr>
          <w:ilvl w:val="0"/>
          <w:numId w:val="30"/>
        </w:numPr>
        <w:spacing w:before="0" w:line="240" w:lineRule="auto"/>
        <w:ind w:left="360"/>
        <w:jc w:val="both"/>
        <w:rPr>
          <w:rFonts w:ascii="Times New Roman" w:hAnsi="Times New Roman"/>
          <w:sz w:val="24"/>
          <w:szCs w:val="24"/>
        </w:rPr>
      </w:pPr>
      <w:r w:rsidRPr="0066030A">
        <w:rPr>
          <w:rFonts w:ascii="Times New Roman" w:hAnsi="Times New Roman"/>
          <w:sz w:val="24"/>
          <w:szCs w:val="24"/>
        </w:rPr>
        <w:t>Add statistical Analysis and Commentary on the Cost and Speed of Clean Energy Plants in Vietnam 2013 – 2018.</w:t>
      </w:r>
    </w:p>
    <w:p w14:paraId="54692552" w14:textId="143CC3F1" w:rsidR="0066030A" w:rsidRPr="0066030A" w:rsidRDefault="0066030A" w:rsidP="0066030A">
      <w:pPr>
        <w:pStyle w:val="ListParagraph"/>
        <w:numPr>
          <w:ilvl w:val="0"/>
          <w:numId w:val="30"/>
        </w:numPr>
        <w:spacing w:before="0" w:line="240" w:lineRule="auto"/>
        <w:ind w:left="360"/>
        <w:jc w:val="both"/>
        <w:rPr>
          <w:rFonts w:ascii="Times New Roman" w:hAnsi="Times New Roman"/>
          <w:sz w:val="24"/>
          <w:szCs w:val="24"/>
        </w:rPr>
      </w:pPr>
      <w:r w:rsidRPr="0066030A">
        <w:rPr>
          <w:rFonts w:ascii="Times New Roman" w:hAnsi="Times New Roman"/>
          <w:sz w:val="24"/>
          <w:szCs w:val="24"/>
        </w:rPr>
        <w:t>Analyse the fastest and most cost-efficient method of building clean energy by the priva</w:t>
      </w:r>
      <w:r w:rsidR="006F1943">
        <w:rPr>
          <w:rFonts w:ascii="Times New Roman" w:hAnsi="Times New Roman"/>
          <w:sz w:val="24"/>
          <w:szCs w:val="24"/>
        </w:rPr>
        <w:t xml:space="preserve">te sector investors and banks. </w:t>
      </w:r>
      <w:r w:rsidRPr="0066030A">
        <w:rPr>
          <w:rFonts w:ascii="Times New Roman" w:hAnsi="Times New Roman"/>
          <w:sz w:val="24"/>
          <w:szCs w:val="24"/>
        </w:rPr>
        <w:t>Can investment by experienced clean energy developers relieve the burden on public debt and remove concerns regarding waste and the sl</w:t>
      </w:r>
      <w:r w:rsidR="006F1943">
        <w:rPr>
          <w:rFonts w:ascii="Times New Roman" w:hAnsi="Times New Roman"/>
          <w:sz w:val="24"/>
          <w:szCs w:val="24"/>
        </w:rPr>
        <w:t>ow development of energy plants.</w:t>
      </w:r>
      <w:r w:rsidR="007D0979">
        <w:rPr>
          <w:rFonts w:ascii="Times New Roman" w:hAnsi="Times New Roman"/>
          <w:sz w:val="24"/>
          <w:szCs w:val="24"/>
        </w:rPr>
        <w:t xml:space="preserve"> What is the role SMEs have played and can play in energy development?</w:t>
      </w:r>
    </w:p>
    <w:p w14:paraId="60C99DD8" w14:textId="77777777" w:rsidR="0066030A" w:rsidRPr="0066030A" w:rsidRDefault="0066030A" w:rsidP="0066030A">
      <w:pPr>
        <w:spacing w:before="0" w:line="240" w:lineRule="auto"/>
        <w:jc w:val="both"/>
        <w:rPr>
          <w:rFonts w:ascii="Times New Roman" w:hAnsi="Times New Roman"/>
          <w:sz w:val="24"/>
          <w:szCs w:val="24"/>
        </w:rPr>
      </w:pPr>
    </w:p>
    <w:p w14:paraId="31B94641" w14:textId="77777777" w:rsidR="0066030A" w:rsidRPr="0066030A" w:rsidRDefault="0066030A" w:rsidP="0066030A">
      <w:pPr>
        <w:spacing w:before="0" w:line="240" w:lineRule="auto"/>
        <w:jc w:val="both"/>
        <w:rPr>
          <w:rFonts w:ascii="Times New Roman" w:hAnsi="Times New Roman"/>
          <w:sz w:val="24"/>
          <w:szCs w:val="24"/>
        </w:rPr>
      </w:pPr>
      <w:r w:rsidRPr="0066030A">
        <w:rPr>
          <w:rFonts w:ascii="Times New Roman" w:hAnsi="Times New Roman"/>
          <w:sz w:val="24"/>
          <w:szCs w:val="24"/>
        </w:rPr>
        <w:t>Under PMP8, the government and ODA sector should:</w:t>
      </w:r>
    </w:p>
    <w:p w14:paraId="2BC8FCD6" w14:textId="77777777" w:rsidR="0066030A" w:rsidRPr="0066030A" w:rsidRDefault="0066030A" w:rsidP="0066030A">
      <w:pPr>
        <w:spacing w:before="0" w:line="240" w:lineRule="auto"/>
        <w:jc w:val="both"/>
        <w:rPr>
          <w:rFonts w:ascii="Times New Roman" w:hAnsi="Times New Roman"/>
          <w:sz w:val="24"/>
          <w:szCs w:val="24"/>
        </w:rPr>
      </w:pPr>
    </w:p>
    <w:p w14:paraId="589873AF" w14:textId="77777777" w:rsidR="0066030A" w:rsidRPr="0066030A" w:rsidRDefault="0066030A" w:rsidP="0066030A">
      <w:pPr>
        <w:pStyle w:val="ListParagraph"/>
        <w:numPr>
          <w:ilvl w:val="0"/>
          <w:numId w:val="31"/>
        </w:numPr>
        <w:spacing w:before="0" w:line="240" w:lineRule="auto"/>
        <w:ind w:left="360"/>
        <w:jc w:val="both"/>
        <w:rPr>
          <w:rFonts w:ascii="Times New Roman" w:hAnsi="Times New Roman"/>
          <w:sz w:val="24"/>
          <w:szCs w:val="24"/>
        </w:rPr>
      </w:pPr>
      <w:r w:rsidRPr="0066030A">
        <w:rPr>
          <w:rFonts w:ascii="Times New Roman" w:hAnsi="Times New Roman"/>
          <w:sz w:val="24"/>
          <w:szCs w:val="24"/>
        </w:rPr>
        <w:t>Focus on the upgrade of transmission and distribution.</w:t>
      </w:r>
    </w:p>
    <w:p w14:paraId="6B9AE786" w14:textId="2B4BF606" w:rsidR="0066030A" w:rsidRPr="0066030A" w:rsidRDefault="007D0979" w:rsidP="0066030A">
      <w:pPr>
        <w:pStyle w:val="ListParagraph"/>
        <w:numPr>
          <w:ilvl w:val="0"/>
          <w:numId w:val="31"/>
        </w:numPr>
        <w:spacing w:before="0" w:line="240" w:lineRule="auto"/>
        <w:ind w:left="360"/>
        <w:jc w:val="both"/>
        <w:rPr>
          <w:rFonts w:ascii="Times New Roman" w:hAnsi="Times New Roman"/>
          <w:sz w:val="24"/>
          <w:szCs w:val="24"/>
        </w:rPr>
      </w:pPr>
      <w:r>
        <w:rPr>
          <w:rFonts w:ascii="Times New Roman" w:hAnsi="Times New Roman"/>
          <w:sz w:val="24"/>
          <w:szCs w:val="24"/>
        </w:rPr>
        <w:t>Create a regulator regime that a</w:t>
      </w:r>
      <w:r w:rsidR="0066030A" w:rsidRPr="0066030A">
        <w:rPr>
          <w:rFonts w:ascii="Times New Roman" w:hAnsi="Times New Roman"/>
          <w:sz w:val="24"/>
          <w:szCs w:val="24"/>
        </w:rPr>
        <w:t>llow</w:t>
      </w:r>
      <w:r>
        <w:rPr>
          <w:rFonts w:ascii="Times New Roman" w:hAnsi="Times New Roman"/>
          <w:sz w:val="24"/>
          <w:szCs w:val="24"/>
        </w:rPr>
        <w:t>s</w:t>
      </w:r>
      <w:r w:rsidR="0066030A" w:rsidRPr="0066030A">
        <w:rPr>
          <w:rFonts w:ascii="Times New Roman" w:hAnsi="Times New Roman"/>
          <w:sz w:val="24"/>
          <w:szCs w:val="24"/>
        </w:rPr>
        <w:t xml:space="preserve"> and encourage construction and use of bio-mass, solar, wind and other clean sources of power generation for private and public users – office, residential, manufacturing, communities, and industrial</w:t>
      </w:r>
      <w:r>
        <w:rPr>
          <w:rFonts w:ascii="Times New Roman" w:hAnsi="Times New Roman"/>
          <w:sz w:val="24"/>
          <w:szCs w:val="24"/>
        </w:rPr>
        <w:t xml:space="preserve"> - small scale and large scale</w:t>
      </w:r>
      <w:r w:rsidR="0066030A" w:rsidRPr="0066030A">
        <w:rPr>
          <w:rFonts w:ascii="Times New Roman" w:hAnsi="Times New Roman"/>
          <w:sz w:val="24"/>
          <w:szCs w:val="24"/>
        </w:rPr>
        <w:t xml:space="preserve">. </w:t>
      </w:r>
    </w:p>
    <w:p w14:paraId="30B0EF8D" w14:textId="002A0C62" w:rsidR="0066030A" w:rsidRPr="0066030A" w:rsidRDefault="0066030A" w:rsidP="0066030A">
      <w:pPr>
        <w:pStyle w:val="ListParagraph"/>
        <w:numPr>
          <w:ilvl w:val="0"/>
          <w:numId w:val="31"/>
        </w:numPr>
        <w:spacing w:before="0" w:line="240" w:lineRule="auto"/>
        <w:ind w:left="360"/>
        <w:jc w:val="both"/>
        <w:rPr>
          <w:rFonts w:ascii="Times New Roman" w:hAnsi="Times New Roman"/>
          <w:sz w:val="24"/>
          <w:szCs w:val="24"/>
        </w:rPr>
      </w:pPr>
      <w:r w:rsidRPr="0066030A">
        <w:rPr>
          <w:rFonts w:ascii="Times New Roman" w:hAnsi="Times New Roman"/>
          <w:sz w:val="24"/>
          <w:szCs w:val="24"/>
        </w:rPr>
        <w:t xml:space="preserve">Speed up decision making and set </w:t>
      </w:r>
      <w:r w:rsidR="007D0979">
        <w:rPr>
          <w:rFonts w:ascii="Times New Roman" w:hAnsi="Times New Roman"/>
          <w:sz w:val="24"/>
          <w:szCs w:val="24"/>
        </w:rPr>
        <w:t xml:space="preserve">predicative procedures </w:t>
      </w:r>
      <w:r w:rsidRPr="0066030A">
        <w:rPr>
          <w:rFonts w:ascii="Times New Roman" w:hAnsi="Times New Roman"/>
          <w:sz w:val="24"/>
          <w:szCs w:val="24"/>
        </w:rPr>
        <w:t>to encourage development of off shore gas, LNG, efficiencies, and renewables.</w:t>
      </w:r>
    </w:p>
    <w:p w14:paraId="0EE2AF0B" w14:textId="77777777" w:rsidR="0066030A" w:rsidRPr="0066030A" w:rsidRDefault="0066030A" w:rsidP="0066030A">
      <w:pPr>
        <w:spacing w:before="0" w:line="240" w:lineRule="auto"/>
        <w:jc w:val="both"/>
        <w:rPr>
          <w:rFonts w:ascii="Times New Roman" w:hAnsi="Times New Roman"/>
          <w:sz w:val="24"/>
          <w:szCs w:val="24"/>
        </w:rPr>
      </w:pPr>
    </w:p>
    <w:p w14:paraId="29620307" w14:textId="77777777" w:rsidR="006F1943" w:rsidRPr="006F1943" w:rsidRDefault="006F1943" w:rsidP="006F1943">
      <w:pPr>
        <w:pStyle w:val="ListParagraph"/>
        <w:numPr>
          <w:ilvl w:val="0"/>
          <w:numId w:val="32"/>
        </w:numPr>
        <w:spacing w:before="0" w:line="240" w:lineRule="auto"/>
        <w:jc w:val="both"/>
        <w:rPr>
          <w:rFonts w:ascii="Times New Roman" w:hAnsi="Times New Roman"/>
          <w:b/>
          <w:sz w:val="24"/>
          <w:szCs w:val="24"/>
        </w:rPr>
      </w:pPr>
      <w:r w:rsidRPr="006F1943">
        <w:rPr>
          <w:rFonts w:ascii="Times New Roman" w:hAnsi="Times New Roman"/>
          <w:b/>
          <w:sz w:val="24"/>
          <w:szCs w:val="24"/>
        </w:rPr>
        <w:t>Solar energy rooftop regulations</w:t>
      </w:r>
    </w:p>
    <w:p w14:paraId="301AE8B4" w14:textId="77777777" w:rsidR="006F1943" w:rsidRDefault="006F1943" w:rsidP="0066030A">
      <w:pPr>
        <w:spacing w:before="0" w:line="240" w:lineRule="auto"/>
        <w:jc w:val="both"/>
        <w:rPr>
          <w:rFonts w:ascii="Times New Roman" w:hAnsi="Times New Roman"/>
          <w:sz w:val="24"/>
          <w:szCs w:val="24"/>
        </w:rPr>
      </w:pPr>
    </w:p>
    <w:p w14:paraId="135E0DF8" w14:textId="62526E73" w:rsidR="0066030A" w:rsidRPr="0066030A" w:rsidRDefault="0066030A" w:rsidP="0066030A">
      <w:pPr>
        <w:spacing w:before="0" w:line="240" w:lineRule="auto"/>
        <w:jc w:val="both"/>
        <w:rPr>
          <w:rFonts w:ascii="Times New Roman" w:hAnsi="Times New Roman"/>
          <w:sz w:val="24"/>
          <w:szCs w:val="24"/>
        </w:rPr>
      </w:pPr>
      <w:r w:rsidRPr="0066030A">
        <w:rPr>
          <w:rFonts w:ascii="Times New Roman" w:hAnsi="Times New Roman"/>
          <w:sz w:val="24"/>
          <w:szCs w:val="24"/>
        </w:rPr>
        <w:t xml:space="preserve">The VBF </w:t>
      </w:r>
      <w:r w:rsidR="007D0979">
        <w:rPr>
          <w:rFonts w:ascii="Times New Roman" w:hAnsi="Times New Roman"/>
          <w:sz w:val="24"/>
          <w:szCs w:val="24"/>
        </w:rPr>
        <w:t xml:space="preserve">recommended </w:t>
      </w:r>
      <w:r w:rsidR="00AA156A">
        <w:rPr>
          <w:rFonts w:ascii="Times New Roman" w:hAnsi="Times New Roman"/>
          <w:sz w:val="24"/>
          <w:szCs w:val="24"/>
        </w:rPr>
        <w:t xml:space="preserve">a </w:t>
      </w:r>
      <w:r w:rsidR="00AA156A" w:rsidRPr="0066030A">
        <w:rPr>
          <w:rFonts w:ascii="Times New Roman" w:hAnsi="Times New Roman"/>
          <w:sz w:val="24"/>
          <w:szCs w:val="24"/>
        </w:rPr>
        <w:t>solar energy rooftop regulation</w:t>
      </w:r>
      <w:r w:rsidRPr="0066030A">
        <w:rPr>
          <w:rFonts w:ascii="Times New Roman" w:hAnsi="Times New Roman"/>
          <w:sz w:val="24"/>
          <w:szCs w:val="24"/>
        </w:rPr>
        <w:t xml:space="preserve"> that </w:t>
      </w:r>
      <w:r w:rsidR="00AA156A">
        <w:rPr>
          <w:rFonts w:ascii="Times New Roman" w:hAnsi="Times New Roman"/>
          <w:sz w:val="24"/>
          <w:szCs w:val="24"/>
        </w:rPr>
        <w:t xml:space="preserve">allowed </w:t>
      </w:r>
      <w:r w:rsidRPr="0066030A">
        <w:rPr>
          <w:rFonts w:ascii="Times New Roman" w:hAnsi="Times New Roman"/>
          <w:sz w:val="24"/>
          <w:szCs w:val="24"/>
        </w:rPr>
        <w:t xml:space="preserve">a 3MW capacity plant could be implemented without a Power Operation Licence. VBF recommends that MOIT considers increasing the exemption in Circular 12/2017 from 1MW to 3MW to fully capture the benefits </w:t>
      </w:r>
      <w:r w:rsidR="0094304D">
        <w:rPr>
          <w:rFonts w:ascii="Times New Roman" w:hAnsi="Times New Roman"/>
          <w:sz w:val="24"/>
          <w:szCs w:val="24"/>
        </w:rPr>
        <w:t xml:space="preserve">and jobs </w:t>
      </w:r>
      <w:r w:rsidRPr="0066030A">
        <w:rPr>
          <w:rFonts w:ascii="Times New Roman" w:hAnsi="Times New Roman"/>
          <w:sz w:val="24"/>
          <w:szCs w:val="24"/>
        </w:rPr>
        <w:t>of investment in solar rooftop energy systems.</w:t>
      </w:r>
    </w:p>
    <w:p w14:paraId="1A4AAF00" w14:textId="77777777" w:rsidR="0066030A" w:rsidRPr="0066030A" w:rsidRDefault="0066030A" w:rsidP="0066030A">
      <w:pPr>
        <w:spacing w:before="0" w:line="240" w:lineRule="auto"/>
        <w:jc w:val="both"/>
        <w:rPr>
          <w:rFonts w:ascii="Times New Roman" w:hAnsi="Times New Roman"/>
          <w:sz w:val="24"/>
          <w:szCs w:val="24"/>
        </w:rPr>
      </w:pPr>
    </w:p>
    <w:p w14:paraId="3E28468D" w14:textId="77777777" w:rsidR="0066030A" w:rsidRPr="0066030A" w:rsidRDefault="0066030A" w:rsidP="0066030A">
      <w:pPr>
        <w:spacing w:before="0" w:line="240" w:lineRule="auto"/>
        <w:jc w:val="both"/>
        <w:rPr>
          <w:rFonts w:ascii="Times New Roman" w:hAnsi="Times New Roman"/>
          <w:sz w:val="24"/>
          <w:szCs w:val="24"/>
        </w:rPr>
      </w:pPr>
      <w:r w:rsidRPr="0066030A">
        <w:rPr>
          <w:rFonts w:ascii="Times New Roman" w:hAnsi="Times New Roman"/>
          <w:sz w:val="24"/>
          <w:szCs w:val="24"/>
        </w:rPr>
        <w:t>We understand that the MOIT has been working on a draft Circular to replace Circular No. 12/2017/TT-BCT on Power Operation License. According to the draft Circular, however, we understand that the thresh</w:t>
      </w:r>
      <w:r w:rsidR="006F1943">
        <w:rPr>
          <w:rFonts w:ascii="Times New Roman" w:hAnsi="Times New Roman"/>
          <w:sz w:val="24"/>
          <w:szCs w:val="24"/>
        </w:rPr>
        <w:t xml:space="preserve">old of 1MWp remains unchanged. </w:t>
      </w:r>
      <w:r w:rsidRPr="0066030A">
        <w:rPr>
          <w:rFonts w:ascii="Times New Roman" w:hAnsi="Times New Roman"/>
          <w:sz w:val="24"/>
          <w:szCs w:val="24"/>
        </w:rPr>
        <w:t>Thus, we continue to suggest the MOIT take into account our recommendation of 3MW as the threshold in the new draft Circular.</w:t>
      </w:r>
      <w:r w:rsidRPr="0066030A">
        <w:rPr>
          <w:rFonts w:ascii="Times New Roman" w:hAnsi="Times New Roman"/>
          <w:sz w:val="24"/>
          <w:szCs w:val="24"/>
          <w:u w:val="single"/>
        </w:rPr>
        <w:t xml:space="preserve">  </w:t>
      </w:r>
    </w:p>
    <w:p w14:paraId="2A2767DD" w14:textId="77777777" w:rsidR="0066030A" w:rsidRPr="0066030A" w:rsidRDefault="0066030A" w:rsidP="0066030A">
      <w:pPr>
        <w:spacing w:before="0" w:line="240" w:lineRule="auto"/>
        <w:jc w:val="both"/>
        <w:rPr>
          <w:rFonts w:ascii="Times New Roman" w:hAnsi="Times New Roman"/>
          <w:sz w:val="24"/>
          <w:szCs w:val="24"/>
        </w:rPr>
      </w:pPr>
    </w:p>
    <w:p w14:paraId="44C85E8E" w14:textId="77777777" w:rsidR="0066030A" w:rsidRPr="006F1943" w:rsidRDefault="00382C4E" w:rsidP="006F1943">
      <w:pPr>
        <w:pStyle w:val="ListParagraph"/>
        <w:numPr>
          <w:ilvl w:val="0"/>
          <w:numId w:val="32"/>
        </w:numPr>
        <w:spacing w:before="0" w:line="240" w:lineRule="auto"/>
        <w:jc w:val="both"/>
        <w:rPr>
          <w:rFonts w:ascii="Times New Roman" w:hAnsi="Times New Roman"/>
          <w:b/>
          <w:sz w:val="24"/>
          <w:szCs w:val="24"/>
        </w:rPr>
      </w:pPr>
      <w:r>
        <w:rPr>
          <w:rFonts w:ascii="Times New Roman" w:hAnsi="Times New Roman"/>
          <w:b/>
          <w:sz w:val="24"/>
          <w:szCs w:val="24"/>
        </w:rPr>
        <w:t xml:space="preserve"> </w:t>
      </w:r>
      <w:r w:rsidR="0066030A" w:rsidRPr="006F1943">
        <w:rPr>
          <w:rFonts w:ascii="Times New Roman" w:hAnsi="Times New Roman"/>
          <w:b/>
          <w:sz w:val="24"/>
          <w:szCs w:val="24"/>
        </w:rPr>
        <w:t>Recommended Selection Criteria for grid-connected solar energy projects in the national energy development masterplan</w:t>
      </w:r>
    </w:p>
    <w:p w14:paraId="55E03C2F" w14:textId="77777777" w:rsidR="006F1943" w:rsidRDefault="006F1943" w:rsidP="0066030A">
      <w:pPr>
        <w:spacing w:before="0" w:line="240" w:lineRule="auto"/>
        <w:jc w:val="both"/>
        <w:rPr>
          <w:rFonts w:ascii="Times New Roman" w:hAnsi="Times New Roman"/>
          <w:sz w:val="24"/>
          <w:szCs w:val="24"/>
        </w:rPr>
      </w:pPr>
    </w:p>
    <w:p w14:paraId="1671C5AC" w14:textId="77777777" w:rsidR="0066030A" w:rsidRPr="0066030A" w:rsidRDefault="0066030A" w:rsidP="0066030A">
      <w:pPr>
        <w:spacing w:before="0" w:line="240" w:lineRule="auto"/>
        <w:jc w:val="both"/>
        <w:rPr>
          <w:rFonts w:ascii="Times New Roman" w:hAnsi="Times New Roman"/>
          <w:sz w:val="24"/>
          <w:szCs w:val="24"/>
        </w:rPr>
      </w:pPr>
      <w:r w:rsidRPr="0066030A">
        <w:rPr>
          <w:rFonts w:ascii="Times New Roman" w:hAnsi="Times New Roman"/>
          <w:sz w:val="24"/>
          <w:szCs w:val="24"/>
        </w:rPr>
        <w:lastRenderedPageBreak/>
        <w:t xml:space="preserve">VBF welcomes the MOIT feedback and advice on the usefulness of the suggested criteria. </w:t>
      </w:r>
    </w:p>
    <w:p w14:paraId="25B90EDC" w14:textId="77777777" w:rsidR="0066030A" w:rsidRPr="0066030A" w:rsidRDefault="0066030A" w:rsidP="0066030A">
      <w:pPr>
        <w:spacing w:before="0" w:line="240" w:lineRule="auto"/>
        <w:jc w:val="both"/>
        <w:rPr>
          <w:rFonts w:ascii="Times New Roman" w:hAnsi="Times New Roman"/>
          <w:sz w:val="24"/>
          <w:szCs w:val="24"/>
        </w:rPr>
      </w:pPr>
    </w:p>
    <w:p w14:paraId="477BCA50" w14:textId="77777777" w:rsidR="0066030A" w:rsidRPr="006F1943" w:rsidRDefault="0066030A" w:rsidP="006F1943">
      <w:pPr>
        <w:pStyle w:val="ListParagraph"/>
        <w:numPr>
          <w:ilvl w:val="0"/>
          <w:numId w:val="32"/>
        </w:numPr>
        <w:spacing w:before="0" w:line="240" w:lineRule="auto"/>
        <w:jc w:val="both"/>
        <w:rPr>
          <w:rFonts w:ascii="Times New Roman" w:hAnsi="Times New Roman"/>
          <w:b/>
          <w:sz w:val="24"/>
          <w:szCs w:val="24"/>
        </w:rPr>
      </w:pPr>
      <w:r w:rsidRPr="006F1943">
        <w:rPr>
          <w:rFonts w:ascii="Times New Roman" w:hAnsi="Times New Roman"/>
          <w:b/>
          <w:sz w:val="24"/>
          <w:szCs w:val="24"/>
        </w:rPr>
        <w:t>Partnership with VBF in Energy Policy Development and Financing S</w:t>
      </w:r>
      <w:r w:rsidR="00D66271">
        <w:rPr>
          <w:rFonts w:ascii="Times New Roman" w:hAnsi="Times New Roman"/>
          <w:b/>
          <w:sz w:val="24"/>
          <w:szCs w:val="24"/>
        </w:rPr>
        <w:t>trategies for the energy sector</w:t>
      </w:r>
    </w:p>
    <w:p w14:paraId="730D4855" w14:textId="77777777" w:rsidR="006F1943" w:rsidRDefault="006F1943" w:rsidP="0066030A">
      <w:pPr>
        <w:spacing w:before="0" w:line="240" w:lineRule="auto"/>
        <w:jc w:val="both"/>
        <w:rPr>
          <w:rFonts w:ascii="Times New Roman" w:hAnsi="Times New Roman"/>
          <w:sz w:val="24"/>
          <w:szCs w:val="24"/>
        </w:rPr>
      </w:pPr>
    </w:p>
    <w:p w14:paraId="5F9CECF2" w14:textId="4AC298F9" w:rsidR="0066030A" w:rsidRPr="0066030A" w:rsidRDefault="0066030A" w:rsidP="0066030A">
      <w:pPr>
        <w:spacing w:before="0" w:line="240" w:lineRule="auto"/>
        <w:jc w:val="both"/>
        <w:rPr>
          <w:rFonts w:ascii="Times New Roman" w:hAnsi="Times New Roman"/>
          <w:sz w:val="24"/>
          <w:szCs w:val="24"/>
        </w:rPr>
      </w:pPr>
      <w:r w:rsidRPr="0066030A">
        <w:rPr>
          <w:rFonts w:ascii="Times New Roman" w:hAnsi="Times New Roman"/>
          <w:sz w:val="24"/>
          <w:szCs w:val="24"/>
        </w:rPr>
        <w:t xml:space="preserve">The critically important role of the private sector is recognised by all stakeholders and a coherent engagement strategy is needed to facilitate the delivery of 70% of energy (2017 Private Sector power generation investment was no more than 4% of total) and infrastructure investment in the future from private sector sources. </w:t>
      </w:r>
      <w:r w:rsidR="00BE0A05">
        <w:rPr>
          <w:rFonts w:ascii="Times New Roman" w:hAnsi="Times New Roman"/>
          <w:sz w:val="24"/>
          <w:szCs w:val="24"/>
        </w:rPr>
        <w:t xml:space="preserve">Integrated </w:t>
      </w:r>
      <w:r w:rsidR="00556670">
        <w:rPr>
          <w:rFonts w:ascii="Times New Roman" w:hAnsi="Times New Roman"/>
          <w:sz w:val="24"/>
          <w:szCs w:val="24"/>
        </w:rPr>
        <w:t>goals</w:t>
      </w:r>
      <w:r w:rsidR="00BE0A05">
        <w:rPr>
          <w:rFonts w:ascii="Times New Roman" w:hAnsi="Times New Roman"/>
          <w:sz w:val="24"/>
          <w:szCs w:val="24"/>
        </w:rPr>
        <w:t xml:space="preserve"> with international and domestic components will lead to the greatest success. </w:t>
      </w:r>
    </w:p>
    <w:p w14:paraId="223AFAB9" w14:textId="77777777" w:rsidR="0066030A" w:rsidRPr="0066030A" w:rsidRDefault="0066030A" w:rsidP="0066030A">
      <w:pPr>
        <w:spacing w:before="0" w:line="240" w:lineRule="auto"/>
        <w:jc w:val="both"/>
        <w:rPr>
          <w:rFonts w:ascii="Times New Roman" w:hAnsi="Times New Roman"/>
          <w:sz w:val="24"/>
          <w:szCs w:val="24"/>
        </w:rPr>
      </w:pPr>
    </w:p>
    <w:p w14:paraId="4BB159E2" w14:textId="77777777" w:rsidR="006F1943" w:rsidRPr="006F1943" w:rsidRDefault="006F1943" w:rsidP="006F1943">
      <w:pPr>
        <w:pStyle w:val="ListParagraph"/>
        <w:numPr>
          <w:ilvl w:val="0"/>
          <w:numId w:val="32"/>
        </w:numPr>
        <w:spacing w:before="0" w:line="240" w:lineRule="auto"/>
        <w:jc w:val="both"/>
        <w:rPr>
          <w:rFonts w:ascii="Times New Roman" w:hAnsi="Times New Roman"/>
          <w:b/>
          <w:sz w:val="24"/>
          <w:szCs w:val="24"/>
        </w:rPr>
      </w:pPr>
      <w:r w:rsidRPr="006F1943">
        <w:rPr>
          <w:rFonts w:ascii="Times New Roman" w:hAnsi="Times New Roman"/>
          <w:b/>
          <w:sz w:val="24"/>
          <w:szCs w:val="24"/>
        </w:rPr>
        <w:t>Vietnam’s Readiness for Climate Finance Support Mechanisms to the private sector</w:t>
      </w:r>
    </w:p>
    <w:p w14:paraId="6DD2024C" w14:textId="77777777" w:rsidR="006F1535" w:rsidRDefault="006F1535" w:rsidP="0066030A">
      <w:pPr>
        <w:spacing w:before="0" w:line="240" w:lineRule="auto"/>
        <w:jc w:val="both"/>
        <w:rPr>
          <w:rFonts w:ascii="Times New Roman" w:hAnsi="Times New Roman"/>
          <w:sz w:val="24"/>
          <w:szCs w:val="24"/>
        </w:rPr>
      </w:pPr>
    </w:p>
    <w:p w14:paraId="2CAF1D97" w14:textId="77777777" w:rsidR="0066030A" w:rsidRPr="0066030A" w:rsidRDefault="0066030A" w:rsidP="0066030A">
      <w:pPr>
        <w:spacing w:before="0" w:line="240" w:lineRule="auto"/>
        <w:jc w:val="both"/>
        <w:rPr>
          <w:rFonts w:ascii="Times New Roman" w:hAnsi="Times New Roman"/>
          <w:sz w:val="24"/>
          <w:szCs w:val="24"/>
        </w:rPr>
      </w:pPr>
      <w:r w:rsidRPr="0066030A">
        <w:rPr>
          <w:rFonts w:ascii="Times New Roman" w:hAnsi="Times New Roman"/>
          <w:sz w:val="24"/>
          <w:szCs w:val="24"/>
        </w:rPr>
        <w:t>VBF offers its assistance in developing</w:t>
      </w:r>
      <w:r w:rsidR="006F1943">
        <w:rPr>
          <w:rFonts w:ascii="Times New Roman" w:hAnsi="Times New Roman"/>
          <w:sz w:val="24"/>
          <w:szCs w:val="24"/>
        </w:rPr>
        <w:t xml:space="preserve"> </w:t>
      </w:r>
      <w:r w:rsidRPr="0066030A">
        <w:rPr>
          <w:rFonts w:ascii="Times New Roman" w:hAnsi="Times New Roman"/>
          <w:sz w:val="24"/>
          <w:szCs w:val="24"/>
        </w:rPr>
        <w:t>proposals to the global and bilateral climate finance funds that help to enabling markets for</w:t>
      </w:r>
      <w:r w:rsidR="006F1943">
        <w:rPr>
          <w:rFonts w:ascii="Times New Roman" w:hAnsi="Times New Roman"/>
          <w:sz w:val="24"/>
          <w:szCs w:val="24"/>
        </w:rPr>
        <w:t xml:space="preserve"> </w:t>
      </w:r>
      <w:r w:rsidRPr="0066030A">
        <w:rPr>
          <w:rFonts w:ascii="Times New Roman" w:hAnsi="Times New Roman"/>
          <w:sz w:val="24"/>
          <w:szCs w:val="24"/>
        </w:rPr>
        <w:t>private sector investment and facilitates increasing investment in Vietnam’s adaptation</w:t>
      </w:r>
      <w:r w:rsidR="006F1943">
        <w:rPr>
          <w:rFonts w:ascii="Times New Roman" w:hAnsi="Times New Roman"/>
          <w:sz w:val="24"/>
          <w:szCs w:val="24"/>
        </w:rPr>
        <w:t xml:space="preserve"> </w:t>
      </w:r>
      <w:r w:rsidRPr="0066030A">
        <w:rPr>
          <w:rFonts w:ascii="Times New Roman" w:hAnsi="Times New Roman"/>
          <w:sz w:val="24"/>
          <w:szCs w:val="24"/>
        </w:rPr>
        <w:t xml:space="preserve">and mitigation of climate change impacts.  </w:t>
      </w:r>
    </w:p>
    <w:p w14:paraId="550EE69F" w14:textId="77777777" w:rsidR="0066030A" w:rsidRPr="0066030A" w:rsidRDefault="0066030A" w:rsidP="0066030A">
      <w:pPr>
        <w:spacing w:before="0" w:line="240" w:lineRule="auto"/>
        <w:jc w:val="both"/>
        <w:rPr>
          <w:rFonts w:ascii="Times New Roman" w:hAnsi="Times New Roman"/>
          <w:sz w:val="24"/>
          <w:szCs w:val="24"/>
        </w:rPr>
      </w:pPr>
    </w:p>
    <w:p w14:paraId="37B24784" w14:textId="27BF2119" w:rsidR="0066030A" w:rsidRPr="0066030A" w:rsidRDefault="0066030A" w:rsidP="0066030A">
      <w:pPr>
        <w:spacing w:before="0" w:line="240" w:lineRule="auto"/>
        <w:jc w:val="both"/>
        <w:rPr>
          <w:rFonts w:ascii="Times New Roman" w:hAnsi="Times New Roman"/>
          <w:sz w:val="24"/>
          <w:szCs w:val="24"/>
        </w:rPr>
      </w:pPr>
      <w:r w:rsidRPr="0066030A">
        <w:rPr>
          <w:rFonts w:ascii="Times New Roman" w:hAnsi="Times New Roman"/>
          <w:sz w:val="24"/>
          <w:szCs w:val="24"/>
        </w:rPr>
        <w:t>VBF members have skills in analysing the Market Context (what can be done and what tools are needed)</w:t>
      </w:r>
      <w:r w:rsidR="00B202F9">
        <w:rPr>
          <w:rFonts w:ascii="Times New Roman" w:hAnsi="Times New Roman"/>
          <w:sz w:val="24"/>
          <w:szCs w:val="24"/>
        </w:rPr>
        <w:t>,</w:t>
      </w:r>
      <w:r w:rsidRPr="0066030A">
        <w:rPr>
          <w:rFonts w:ascii="Times New Roman" w:hAnsi="Times New Roman"/>
          <w:sz w:val="24"/>
          <w:szCs w:val="24"/>
        </w:rPr>
        <w:t xml:space="preserve"> Financing Capacity (how much money can be invested, what conditions need to apply to deliver that investment) to offer and which would assist the Ministry of Planning and Investment, Ministry of Industry and Trade to access Climate Finance resources.</w:t>
      </w:r>
    </w:p>
    <w:p w14:paraId="4D6E600E" w14:textId="77777777" w:rsidR="0066030A" w:rsidRPr="0066030A" w:rsidRDefault="0066030A" w:rsidP="0066030A">
      <w:pPr>
        <w:spacing w:before="0" w:line="240" w:lineRule="auto"/>
        <w:jc w:val="both"/>
        <w:rPr>
          <w:rFonts w:ascii="Times New Roman" w:hAnsi="Times New Roman"/>
          <w:sz w:val="24"/>
          <w:szCs w:val="24"/>
        </w:rPr>
      </w:pPr>
    </w:p>
    <w:p w14:paraId="1E67CF68" w14:textId="77777777" w:rsidR="0066030A" w:rsidRPr="006F1535" w:rsidRDefault="0066030A" w:rsidP="006F1535">
      <w:pPr>
        <w:pStyle w:val="ListParagraph"/>
        <w:numPr>
          <w:ilvl w:val="0"/>
          <w:numId w:val="32"/>
        </w:numPr>
        <w:spacing w:before="0" w:line="240" w:lineRule="auto"/>
        <w:jc w:val="both"/>
        <w:rPr>
          <w:rFonts w:ascii="Times New Roman" w:hAnsi="Times New Roman"/>
          <w:b/>
          <w:sz w:val="24"/>
          <w:szCs w:val="24"/>
        </w:rPr>
      </w:pPr>
      <w:r w:rsidRPr="006F1535">
        <w:rPr>
          <w:rFonts w:ascii="Times New Roman" w:hAnsi="Times New Roman"/>
          <w:b/>
          <w:sz w:val="24"/>
          <w:szCs w:val="24"/>
        </w:rPr>
        <w:t>Direct Power Purchase Agreement</w:t>
      </w:r>
    </w:p>
    <w:p w14:paraId="0F8C85DA" w14:textId="77777777" w:rsidR="006F1943" w:rsidRDefault="006F1943" w:rsidP="0066030A">
      <w:pPr>
        <w:spacing w:before="0" w:line="240" w:lineRule="auto"/>
        <w:jc w:val="both"/>
        <w:rPr>
          <w:rFonts w:ascii="Times New Roman" w:hAnsi="Times New Roman"/>
          <w:sz w:val="24"/>
          <w:szCs w:val="24"/>
        </w:rPr>
      </w:pPr>
    </w:p>
    <w:p w14:paraId="1CF7B119" w14:textId="77777777" w:rsidR="0066030A" w:rsidRDefault="0066030A" w:rsidP="0066030A">
      <w:pPr>
        <w:spacing w:before="0" w:line="240" w:lineRule="auto"/>
        <w:jc w:val="both"/>
        <w:rPr>
          <w:rFonts w:ascii="Times New Roman" w:hAnsi="Times New Roman"/>
          <w:sz w:val="24"/>
          <w:szCs w:val="24"/>
        </w:rPr>
      </w:pPr>
      <w:r w:rsidRPr="0066030A">
        <w:rPr>
          <w:rFonts w:ascii="Times New Roman" w:hAnsi="Times New Roman"/>
          <w:sz w:val="24"/>
          <w:szCs w:val="24"/>
        </w:rPr>
        <w:t>VBF looks forward to further details of the DPPA Pilot Scheme and recommends the following:</w:t>
      </w:r>
    </w:p>
    <w:p w14:paraId="6551C8B2" w14:textId="77777777" w:rsidR="006F1943" w:rsidRPr="0066030A" w:rsidRDefault="006F1943" w:rsidP="0066030A">
      <w:pPr>
        <w:spacing w:before="0" w:line="240" w:lineRule="auto"/>
        <w:jc w:val="both"/>
        <w:rPr>
          <w:rFonts w:ascii="Times New Roman" w:hAnsi="Times New Roman"/>
          <w:sz w:val="24"/>
          <w:szCs w:val="24"/>
        </w:rPr>
      </w:pPr>
    </w:p>
    <w:p w14:paraId="0D8D52D9" w14:textId="77777777" w:rsidR="0066030A" w:rsidRPr="0066030A" w:rsidRDefault="0066030A" w:rsidP="0066030A">
      <w:pPr>
        <w:pStyle w:val="ListParagraph"/>
        <w:numPr>
          <w:ilvl w:val="0"/>
          <w:numId w:val="24"/>
        </w:numPr>
        <w:spacing w:before="0" w:line="240" w:lineRule="auto"/>
        <w:jc w:val="both"/>
        <w:rPr>
          <w:rFonts w:ascii="Times New Roman" w:hAnsi="Times New Roman"/>
          <w:sz w:val="24"/>
          <w:szCs w:val="24"/>
        </w:rPr>
      </w:pPr>
      <w:r w:rsidRPr="0066030A">
        <w:rPr>
          <w:rFonts w:ascii="Times New Roman" w:hAnsi="Times New Roman"/>
          <w:sz w:val="24"/>
          <w:szCs w:val="24"/>
        </w:rPr>
        <w:t>Power consumers paying the Commercial (offices, hotels, resorts and supermarkets) electricity tariff are allowed to enter the Pilot Scheme and to reduce their electricity costs.</w:t>
      </w:r>
    </w:p>
    <w:p w14:paraId="50704085" w14:textId="77777777" w:rsidR="00084AA8" w:rsidRDefault="0066030A" w:rsidP="0066030A">
      <w:pPr>
        <w:pStyle w:val="ListParagraph"/>
        <w:numPr>
          <w:ilvl w:val="0"/>
          <w:numId w:val="24"/>
        </w:numPr>
        <w:spacing w:before="0" w:line="240" w:lineRule="auto"/>
        <w:jc w:val="both"/>
        <w:rPr>
          <w:rFonts w:ascii="Times New Roman" w:hAnsi="Times New Roman"/>
          <w:sz w:val="24"/>
          <w:szCs w:val="24"/>
        </w:rPr>
      </w:pPr>
      <w:r w:rsidRPr="00084AA8">
        <w:rPr>
          <w:rFonts w:ascii="Times New Roman" w:hAnsi="Times New Roman"/>
          <w:sz w:val="24"/>
          <w:szCs w:val="24"/>
        </w:rPr>
        <w:t xml:space="preserve">Pilot Scheme should set a target to create investment in at least 300MW of new clean energy generation in 2018/2019 and $400m. </w:t>
      </w:r>
    </w:p>
    <w:p w14:paraId="062ADE78" w14:textId="5DFD1089" w:rsidR="0066030A" w:rsidRPr="00084AA8" w:rsidRDefault="0066030A" w:rsidP="0066030A">
      <w:pPr>
        <w:pStyle w:val="ListParagraph"/>
        <w:numPr>
          <w:ilvl w:val="0"/>
          <w:numId w:val="24"/>
        </w:numPr>
        <w:spacing w:before="0" w:line="240" w:lineRule="auto"/>
        <w:jc w:val="both"/>
        <w:rPr>
          <w:rFonts w:ascii="Times New Roman" w:hAnsi="Times New Roman"/>
          <w:sz w:val="24"/>
          <w:szCs w:val="24"/>
        </w:rPr>
      </w:pPr>
      <w:r w:rsidRPr="00084AA8">
        <w:rPr>
          <w:rFonts w:ascii="Times New Roman" w:hAnsi="Times New Roman"/>
          <w:sz w:val="24"/>
          <w:szCs w:val="24"/>
        </w:rPr>
        <w:t>That ERAV/EVN define a “wheeling fee” as fully and quickly as possible and undertake to fix this fee for at least first 5 years of operation of the wheeling agreement and for escalation after that period agreed in conjunction with business groups and VBF.</w:t>
      </w:r>
    </w:p>
    <w:p w14:paraId="35A549FB" w14:textId="77777777" w:rsidR="0066030A" w:rsidRDefault="0066030A" w:rsidP="0066030A">
      <w:pPr>
        <w:spacing w:before="0" w:line="240" w:lineRule="auto"/>
        <w:jc w:val="both"/>
        <w:rPr>
          <w:rFonts w:ascii="Times New Roman" w:hAnsi="Times New Roman"/>
          <w:sz w:val="24"/>
          <w:szCs w:val="24"/>
        </w:rPr>
      </w:pPr>
    </w:p>
    <w:p w14:paraId="2113F85A" w14:textId="77777777" w:rsidR="00D66271" w:rsidRDefault="00D66271" w:rsidP="0066030A">
      <w:pPr>
        <w:spacing w:before="0" w:line="240" w:lineRule="auto"/>
        <w:jc w:val="both"/>
        <w:rPr>
          <w:rFonts w:ascii="Times New Roman" w:hAnsi="Times New Roman"/>
          <w:sz w:val="24"/>
          <w:szCs w:val="24"/>
        </w:rPr>
      </w:pPr>
    </w:p>
    <w:p w14:paraId="162B6A31" w14:textId="77777777" w:rsidR="00905A70" w:rsidRPr="0066030A" w:rsidRDefault="00905A70" w:rsidP="0066030A">
      <w:pPr>
        <w:spacing w:before="0" w:line="240" w:lineRule="auto"/>
        <w:jc w:val="both"/>
        <w:rPr>
          <w:rFonts w:ascii="Times New Roman" w:hAnsi="Times New Roman"/>
          <w:sz w:val="24"/>
          <w:szCs w:val="24"/>
        </w:rPr>
      </w:pPr>
    </w:p>
    <w:sectPr w:rsidR="00905A70" w:rsidRPr="0066030A" w:rsidSect="0066028C">
      <w:headerReference w:type="default" r:id="rId8"/>
      <w:footerReference w:type="default" r:id="rId9"/>
      <w:pgSz w:w="12240" w:h="15840"/>
      <w:pgMar w:top="1260" w:right="1170" w:bottom="1440" w:left="1440" w:header="720" w:footer="2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01DDF" w14:textId="77777777" w:rsidR="005F2AF2" w:rsidRDefault="005F2AF2" w:rsidP="00EF2A62">
      <w:pPr>
        <w:spacing w:before="0" w:line="240" w:lineRule="auto"/>
      </w:pPr>
      <w:r>
        <w:separator/>
      </w:r>
    </w:p>
  </w:endnote>
  <w:endnote w:type="continuationSeparator" w:id="0">
    <w:p w14:paraId="4589D091" w14:textId="77777777" w:rsidR="005F2AF2" w:rsidRDefault="005F2AF2" w:rsidP="00EF2A6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i/>
      </w:rPr>
      <w:id w:val="-2019847900"/>
      <w:docPartObj>
        <w:docPartGallery w:val="Page Numbers (Bottom of Page)"/>
        <w:docPartUnique/>
      </w:docPartObj>
    </w:sdtPr>
    <w:sdtEndPr/>
    <w:sdtContent>
      <w:sdt>
        <w:sdtPr>
          <w:rPr>
            <w:rFonts w:ascii="Times New Roman" w:hAnsi="Times New Roman"/>
            <w:i/>
          </w:rPr>
          <w:id w:val="-1669238322"/>
          <w:docPartObj>
            <w:docPartGallery w:val="Page Numbers (Top of Page)"/>
            <w:docPartUnique/>
          </w:docPartObj>
        </w:sdtPr>
        <w:sdtEndPr/>
        <w:sdtContent>
          <w:p w14:paraId="70D138F7" w14:textId="77777777" w:rsidR="00905A70" w:rsidRPr="00271E5C" w:rsidRDefault="00905A70">
            <w:pPr>
              <w:pStyle w:val="Footer"/>
              <w:jc w:val="center"/>
              <w:rPr>
                <w:rFonts w:ascii="Times New Roman" w:hAnsi="Times New Roman"/>
                <w:i/>
              </w:rPr>
            </w:pPr>
            <w:r w:rsidRPr="00271E5C">
              <w:rPr>
                <w:rFonts w:ascii="Times New Roman" w:hAnsi="Times New Roman"/>
                <w:i/>
              </w:rPr>
              <w:t xml:space="preserve">Page </w:t>
            </w:r>
            <w:r w:rsidRPr="00271E5C">
              <w:rPr>
                <w:rFonts w:ascii="Times New Roman" w:hAnsi="Times New Roman"/>
                <w:bCs/>
                <w:i/>
              </w:rPr>
              <w:fldChar w:fldCharType="begin"/>
            </w:r>
            <w:r w:rsidRPr="00271E5C">
              <w:rPr>
                <w:rFonts w:ascii="Times New Roman" w:hAnsi="Times New Roman"/>
                <w:bCs/>
                <w:i/>
              </w:rPr>
              <w:instrText xml:space="preserve"> PAGE </w:instrText>
            </w:r>
            <w:r w:rsidRPr="00271E5C">
              <w:rPr>
                <w:rFonts w:ascii="Times New Roman" w:hAnsi="Times New Roman"/>
                <w:bCs/>
                <w:i/>
              </w:rPr>
              <w:fldChar w:fldCharType="separate"/>
            </w:r>
            <w:r w:rsidR="00382C4E">
              <w:rPr>
                <w:rFonts w:ascii="Times New Roman" w:hAnsi="Times New Roman"/>
                <w:bCs/>
                <w:i/>
                <w:noProof/>
              </w:rPr>
              <w:t>1</w:t>
            </w:r>
            <w:r w:rsidRPr="00271E5C">
              <w:rPr>
                <w:rFonts w:ascii="Times New Roman" w:hAnsi="Times New Roman"/>
                <w:bCs/>
                <w:i/>
              </w:rPr>
              <w:fldChar w:fldCharType="end"/>
            </w:r>
            <w:r w:rsidRPr="00271E5C">
              <w:rPr>
                <w:rFonts w:ascii="Times New Roman" w:hAnsi="Times New Roman"/>
                <w:i/>
              </w:rPr>
              <w:t xml:space="preserve"> of </w:t>
            </w:r>
            <w:r w:rsidRPr="00271E5C">
              <w:rPr>
                <w:rFonts w:ascii="Times New Roman" w:hAnsi="Times New Roman"/>
                <w:bCs/>
                <w:i/>
              </w:rPr>
              <w:fldChar w:fldCharType="begin"/>
            </w:r>
            <w:r w:rsidRPr="00271E5C">
              <w:rPr>
                <w:rFonts w:ascii="Times New Roman" w:hAnsi="Times New Roman"/>
                <w:bCs/>
                <w:i/>
              </w:rPr>
              <w:instrText xml:space="preserve"> NUMPAGES  </w:instrText>
            </w:r>
            <w:r w:rsidRPr="00271E5C">
              <w:rPr>
                <w:rFonts w:ascii="Times New Roman" w:hAnsi="Times New Roman"/>
                <w:bCs/>
                <w:i/>
              </w:rPr>
              <w:fldChar w:fldCharType="separate"/>
            </w:r>
            <w:r w:rsidR="00382C4E">
              <w:rPr>
                <w:rFonts w:ascii="Times New Roman" w:hAnsi="Times New Roman"/>
                <w:bCs/>
                <w:i/>
                <w:noProof/>
              </w:rPr>
              <w:t>3</w:t>
            </w:r>
            <w:r w:rsidRPr="00271E5C">
              <w:rPr>
                <w:rFonts w:ascii="Times New Roman" w:hAnsi="Times New Roman"/>
                <w:bCs/>
                <w:i/>
              </w:rPr>
              <w:fldChar w:fldCharType="end"/>
            </w:r>
          </w:p>
        </w:sdtContent>
      </w:sdt>
    </w:sdtContent>
  </w:sdt>
  <w:p w14:paraId="25835245" w14:textId="77777777" w:rsidR="00905A70" w:rsidRDefault="00905A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7E960" w14:textId="77777777" w:rsidR="005F2AF2" w:rsidRDefault="005F2AF2" w:rsidP="00EF2A62">
      <w:pPr>
        <w:spacing w:before="0" w:line="240" w:lineRule="auto"/>
      </w:pPr>
      <w:r>
        <w:separator/>
      </w:r>
    </w:p>
  </w:footnote>
  <w:footnote w:type="continuationSeparator" w:id="0">
    <w:p w14:paraId="6FB6FA1D" w14:textId="77777777" w:rsidR="005F2AF2" w:rsidRDefault="005F2AF2" w:rsidP="00EF2A6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FD55A" w14:textId="77777777" w:rsidR="00905A70" w:rsidRPr="00271E5C" w:rsidRDefault="00905A70" w:rsidP="00271E5C">
    <w:pPr>
      <w:pStyle w:val="Header"/>
      <w:pBdr>
        <w:bottom w:val="single" w:sz="4" w:space="1" w:color="auto"/>
      </w:pBdr>
      <w:rPr>
        <w:rFonts w:ascii="Times New Roman" w:hAnsi="Times New Roman"/>
        <w:i/>
        <w:u w:val="single"/>
        <w:lang w:val="en-US"/>
      </w:rPr>
    </w:pPr>
    <w:r w:rsidRPr="00271E5C">
      <w:rPr>
        <w:rFonts w:ascii="Times New Roman" w:hAnsi="Times New Roman"/>
        <w:i/>
        <w:lang w:val="en-US"/>
      </w:rPr>
      <w:t xml:space="preserve">Power &amp; Energy Working Group </w:t>
    </w:r>
    <w:r>
      <w:rPr>
        <w:rFonts w:ascii="Times New Roman" w:hAnsi="Times New Roman"/>
        <w:i/>
        <w:lang w:val="en-US"/>
      </w:rPr>
      <w:t xml:space="preserve">                                                                         </w:t>
    </w:r>
    <w:r w:rsidRPr="00271E5C">
      <w:rPr>
        <w:rFonts w:ascii="Times New Roman" w:hAnsi="Times New Roman"/>
        <w:i/>
        <w:lang w:val="en-US"/>
      </w:rPr>
      <w:t>Midterm Vietnam Business Forum,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0643"/>
    <w:multiLevelType w:val="hybridMultilevel"/>
    <w:tmpl w:val="EB5A652E"/>
    <w:lvl w:ilvl="0" w:tplc="0409001B">
      <w:start w:val="1"/>
      <w:numFmt w:val="lowerRoman"/>
      <w:lvlText w:val="%1."/>
      <w:lvlJc w:val="right"/>
      <w:pPr>
        <w:ind w:left="720" w:hanging="360"/>
      </w:pPr>
      <w:rPr>
        <w:rFonts w:hint="default"/>
      </w:rPr>
    </w:lvl>
    <w:lvl w:ilvl="1" w:tplc="C76E83B4">
      <w:start w:val="1"/>
      <w:numFmt w:val="bullet"/>
      <w:lvlText w:val="o"/>
      <w:lvlJc w:val="left"/>
      <w:pPr>
        <w:ind w:left="1440" w:hanging="360"/>
      </w:pPr>
      <w:rPr>
        <w:rFonts w:ascii="Courier New" w:hAnsi="Courier New" w:hint="default"/>
      </w:rPr>
    </w:lvl>
    <w:lvl w:ilvl="2" w:tplc="0A723C9A">
      <w:start w:val="1"/>
      <w:numFmt w:val="bullet"/>
      <w:lvlText w:val=""/>
      <w:lvlJc w:val="left"/>
      <w:pPr>
        <w:ind w:left="2160" w:hanging="360"/>
      </w:pPr>
      <w:rPr>
        <w:rFonts w:ascii="Wingdings" w:hAnsi="Wingdings" w:hint="default"/>
      </w:rPr>
    </w:lvl>
    <w:lvl w:ilvl="3" w:tplc="3C841688">
      <w:start w:val="1"/>
      <w:numFmt w:val="bullet"/>
      <w:lvlText w:val=""/>
      <w:lvlJc w:val="left"/>
      <w:pPr>
        <w:ind w:left="2880" w:hanging="360"/>
      </w:pPr>
      <w:rPr>
        <w:rFonts w:ascii="Symbol" w:hAnsi="Symbol" w:hint="default"/>
      </w:rPr>
    </w:lvl>
    <w:lvl w:ilvl="4" w:tplc="A61E3A50">
      <w:start w:val="1"/>
      <w:numFmt w:val="bullet"/>
      <w:lvlText w:val="o"/>
      <w:lvlJc w:val="left"/>
      <w:pPr>
        <w:ind w:left="3600" w:hanging="360"/>
      </w:pPr>
      <w:rPr>
        <w:rFonts w:ascii="Courier New" w:hAnsi="Courier New" w:hint="default"/>
      </w:rPr>
    </w:lvl>
    <w:lvl w:ilvl="5" w:tplc="80CEF2DA">
      <w:start w:val="1"/>
      <w:numFmt w:val="bullet"/>
      <w:lvlText w:val=""/>
      <w:lvlJc w:val="left"/>
      <w:pPr>
        <w:ind w:left="4320" w:hanging="360"/>
      </w:pPr>
      <w:rPr>
        <w:rFonts w:ascii="Wingdings" w:hAnsi="Wingdings" w:hint="default"/>
      </w:rPr>
    </w:lvl>
    <w:lvl w:ilvl="6" w:tplc="5B4856EA">
      <w:start w:val="1"/>
      <w:numFmt w:val="bullet"/>
      <w:lvlText w:val=""/>
      <w:lvlJc w:val="left"/>
      <w:pPr>
        <w:ind w:left="5040" w:hanging="360"/>
      </w:pPr>
      <w:rPr>
        <w:rFonts w:ascii="Symbol" w:hAnsi="Symbol" w:hint="default"/>
      </w:rPr>
    </w:lvl>
    <w:lvl w:ilvl="7" w:tplc="E7786EDE">
      <w:start w:val="1"/>
      <w:numFmt w:val="bullet"/>
      <w:lvlText w:val="o"/>
      <w:lvlJc w:val="left"/>
      <w:pPr>
        <w:ind w:left="5760" w:hanging="360"/>
      </w:pPr>
      <w:rPr>
        <w:rFonts w:ascii="Courier New" w:hAnsi="Courier New" w:hint="default"/>
      </w:rPr>
    </w:lvl>
    <w:lvl w:ilvl="8" w:tplc="9F6A1892">
      <w:start w:val="1"/>
      <w:numFmt w:val="bullet"/>
      <w:lvlText w:val=""/>
      <w:lvlJc w:val="left"/>
      <w:pPr>
        <w:ind w:left="6480" w:hanging="360"/>
      </w:pPr>
      <w:rPr>
        <w:rFonts w:ascii="Wingdings" w:hAnsi="Wingdings" w:hint="default"/>
      </w:rPr>
    </w:lvl>
  </w:abstractNum>
  <w:abstractNum w:abstractNumId="1" w15:restartNumberingAfterBreak="0">
    <w:nsid w:val="05583827"/>
    <w:multiLevelType w:val="hybridMultilevel"/>
    <w:tmpl w:val="E1921B70"/>
    <w:lvl w:ilvl="0" w:tplc="3C8416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555D1"/>
    <w:multiLevelType w:val="hybridMultilevel"/>
    <w:tmpl w:val="FC9A66AE"/>
    <w:lvl w:ilvl="0" w:tplc="5A10B1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D422E"/>
    <w:multiLevelType w:val="hybridMultilevel"/>
    <w:tmpl w:val="5AFE2D40"/>
    <w:lvl w:ilvl="0" w:tplc="FC6AF92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D61A6"/>
    <w:multiLevelType w:val="hybridMultilevel"/>
    <w:tmpl w:val="F1944A70"/>
    <w:lvl w:ilvl="0" w:tplc="639E141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F387A"/>
    <w:multiLevelType w:val="hybridMultilevel"/>
    <w:tmpl w:val="B5E80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DD56E4"/>
    <w:multiLevelType w:val="hybridMultilevel"/>
    <w:tmpl w:val="8864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9670EF"/>
    <w:multiLevelType w:val="hybridMultilevel"/>
    <w:tmpl w:val="C62C38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8C5CEE"/>
    <w:multiLevelType w:val="hybridMultilevel"/>
    <w:tmpl w:val="B26EB2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D2945"/>
    <w:multiLevelType w:val="hybridMultilevel"/>
    <w:tmpl w:val="FE5CD6B0"/>
    <w:lvl w:ilvl="0" w:tplc="3C8416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875345"/>
    <w:multiLevelType w:val="hybridMultilevel"/>
    <w:tmpl w:val="AD88D116"/>
    <w:lvl w:ilvl="0" w:tplc="3C841688">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3F5E8F"/>
    <w:multiLevelType w:val="hybridMultilevel"/>
    <w:tmpl w:val="D2C2F06C"/>
    <w:lvl w:ilvl="0" w:tplc="5A10B1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C53EB3"/>
    <w:multiLevelType w:val="hybridMultilevel"/>
    <w:tmpl w:val="8C2C107C"/>
    <w:lvl w:ilvl="0" w:tplc="1ADCF2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A16373A"/>
    <w:multiLevelType w:val="hybridMultilevel"/>
    <w:tmpl w:val="C22CA3CC"/>
    <w:lvl w:ilvl="0" w:tplc="639E141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0473A7"/>
    <w:multiLevelType w:val="hybridMultilevel"/>
    <w:tmpl w:val="48822E80"/>
    <w:lvl w:ilvl="0" w:tplc="3C8416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294D0C"/>
    <w:multiLevelType w:val="hybridMultilevel"/>
    <w:tmpl w:val="FBCECB24"/>
    <w:lvl w:ilvl="0" w:tplc="101681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EA5A6B"/>
    <w:multiLevelType w:val="hybridMultilevel"/>
    <w:tmpl w:val="9B989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216848"/>
    <w:multiLevelType w:val="hybridMultilevel"/>
    <w:tmpl w:val="22CC4D24"/>
    <w:lvl w:ilvl="0" w:tplc="E494C4A0">
      <w:start w:val="1"/>
      <w:numFmt w:val="decimal"/>
      <w:lvlText w:val="%1."/>
      <w:lvlJc w:val="left"/>
      <w:pPr>
        <w:ind w:left="360" w:hanging="360"/>
      </w:pPr>
      <w:rPr>
        <w:rFonts w:ascii="Times New Roman" w:hAnsi="Times New Roman" w:cs="Times New Roman"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ECB35E5"/>
    <w:multiLevelType w:val="hybridMultilevel"/>
    <w:tmpl w:val="B9C06C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874C50"/>
    <w:multiLevelType w:val="hybridMultilevel"/>
    <w:tmpl w:val="DD64FC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10B1284"/>
    <w:multiLevelType w:val="hybridMultilevel"/>
    <w:tmpl w:val="F7866FA0"/>
    <w:lvl w:ilvl="0" w:tplc="8C82FD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3F842EB"/>
    <w:multiLevelType w:val="hybridMultilevel"/>
    <w:tmpl w:val="D96A35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9F2030"/>
    <w:multiLevelType w:val="hybridMultilevel"/>
    <w:tmpl w:val="00287C26"/>
    <w:lvl w:ilvl="0" w:tplc="3C8416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A63BAA"/>
    <w:multiLevelType w:val="hybridMultilevel"/>
    <w:tmpl w:val="51660C16"/>
    <w:lvl w:ilvl="0" w:tplc="3C841688">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D2E233C"/>
    <w:multiLevelType w:val="hybridMultilevel"/>
    <w:tmpl w:val="966AEE0E"/>
    <w:lvl w:ilvl="0" w:tplc="639E141C">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DCA0355"/>
    <w:multiLevelType w:val="hybridMultilevel"/>
    <w:tmpl w:val="E3A606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2F84126"/>
    <w:multiLevelType w:val="hybridMultilevel"/>
    <w:tmpl w:val="3D622364"/>
    <w:lvl w:ilvl="0" w:tplc="3C84168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3AE70FD"/>
    <w:multiLevelType w:val="hybridMultilevel"/>
    <w:tmpl w:val="7DA47E96"/>
    <w:lvl w:ilvl="0" w:tplc="523AEA20">
      <w:start w:val="10"/>
      <w:numFmt w:val="decimal"/>
      <w:lvlText w:val="%1"/>
      <w:lvlJc w:val="left"/>
      <w:pPr>
        <w:ind w:left="767" w:hanging="360"/>
      </w:pPr>
      <w:rPr>
        <w:rFonts w:hint="default"/>
      </w:r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28" w15:restartNumberingAfterBreak="0">
    <w:nsid w:val="5478351E"/>
    <w:multiLevelType w:val="hybridMultilevel"/>
    <w:tmpl w:val="D7881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C87F72"/>
    <w:multiLevelType w:val="hybridMultilevel"/>
    <w:tmpl w:val="16C4BCF2"/>
    <w:lvl w:ilvl="0" w:tplc="5A10B1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1123F7"/>
    <w:multiLevelType w:val="hybridMultilevel"/>
    <w:tmpl w:val="EC6CAE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AA0015"/>
    <w:multiLevelType w:val="hybridMultilevel"/>
    <w:tmpl w:val="A414FFF2"/>
    <w:lvl w:ilvl="0" w:tplc="8C82FD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063444"/>
    <w:multiLevelType w:val="hybridMultilevel"/>
    <w:tmpl w:val="488A29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E6F721E"/>
    <w:multiLevelType w:val="hybridMultilevel"/>
    <w:tmpl w:val="81F65E34"/>
    <w:lvl w:ilvl="0" w:tplc="5A10B1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4E283A"/>
    <w:multiLevelType w:val="hybridMultilevel"/>
    <w:tmpl w:val="08227A0A"/>
    <w:lvl w:ilvl="0" w:tplc="8B32A12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925B11"/>
    <w:multiLevelType w:val="hybridMultilevel"/>
    <w:tmpl w:val="E97AB1C6"/>
    <w:lvl w:ilvl="0" w:tplc="3C8416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2C5975"/>
    <w:multiLevelType w:val="hybridMultilevel"/>
    <w:tmpl w:val="986617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96D2A6A"/>
    <w:multiLevelType w:val="hybridMultilevel"/>
    <w:tmpl w:val="C6E26804"/>
    <w:lvl w:ilvl="0" w:tplc="5A10B1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4C5FA9"/>
    <w:multiLevelType w:val="hybridMultilevel"/>
    <w:tmpl w:val="3EA4A058"/>
    <w:lvl w:ilvl="0" w:tplc="639E141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0"/>
  </w:num>
  <w:num w:numId="3">
    <w:abstractNumId w:val="36"/>
  </w:num>
  <w:num w:numId="4">
    <w:abstractNumId w:val="0"/>
  </w:num>
  <w:num w:numId="5">
    <w:abstractNumId w:val="20"/>
  </w:num>
  <w:num w:numId="6">
    <w:abstractNumId w:val="22"/>
  </w:num>
  <w:num w:numId="7">
    <w:abstractNumId w:val="3"/>
  </w:num>
  <w:num w:numId="8">
    <w:abstractNumId w:val="34"/>
  </w:num>
  <w:num w:numId="9">
    <w:abstractNumId w:val="19"/>
  </w:num>
  <w:num w:numId="10">
    <w:abstractNumId w:val="12"/>
  </w:num>
  <w:num w:numId="11">
    <w:abstractNumId w:val="17"/>
  </w:num>
  <w:num w:numId="12">
    <w:abstractNumId w:val="9"/>
  </w:num>
  <w:num w:numId="13">
    <w:abstractNumId w:val="31"/>
  </w:num>
  <w:num w:numId="14">
    <w:abstractNumId w:val="18"/>
  </w:num>
  <w:num w:numId="15">
    <w:abstractNumId w:val="23"/>
  </w:num>
  <w:num w:numId="16">
    <w:abstractNumId w:val="33"/>
  </w:num>
  <w:num w:numId="17">
    <w:abstractNumId w:val="26"/>
  </w:num>
  <w:num w:numId="18">
    <w:abstractNumId w:val="8"/>
  </w:num>
  <w:num w:numId="19">
    <w:abstractNumId w:val="37"/>
  </w:num>
  <w:num w:numId="20">
    <w:abstractNumId w:val="14"/>
  </w:num>
  <w:num w:numId="21">
    <w:abstractNumId w:val="29"/>
  </w:num>
  <w:num w:numId="22">
    <w:abstractNumId w:val="11"/>
  </w:num>
  <w:num w:numId="23">
    <w:abstractNumId w:val="2"/>
  </w:num>
  <w:num w:numId="24">
    <w:abstractNumId w:val="32"/>
  </w:num>
  <w:num w:numId="25">
    <w:abstractNumId w:val="1"/>
  </w:num>
  <w:num w:numId="26">
    <w:abstractNumId w:val="35"/>
  </w:num>
  <w:num w:numId="27">
    <w:abstractNumId w:val="21"/>
  </w:num>
  <w:num w:numId="28">
    <w:abstractNumId w:val="10"/>
  </w:num>
  <w:num w:numId="29">
    <w:abstractNumId w:val="5"/>
  </w:num>
  <w:num w:numId="30">
    <w:abstractNumId w:val="6"/>
  </w:num>
  <w:num w:numId="31">
    <w:abstractNumId w:val="28"/>
  </w:num>
  <w:num w:numId="32">
    <w:abstractNumId w:val="24"/>
  </w:num>
  <w:num w:numId="33">
    <w:abstractNumId w:val="4"/>
  </w:num>
  <w:num w:numId="34">
    <w:abstractNumId w:val="38"/>
  </w:num>
  <w:num w:numId="35">
    <w:abstractNumId w:val="13"/>
  </w:num>
  <w:num w:numId="36">
    <w:abstractNumId w:val="15"/>
  </w:num>
  <w:num w:numId="37">
    <w:abstractNumId w:val="16"/>
  </w:num>
  <w:num w:numId="38">
    <w:abstractNumId w:val="27"/>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A62"/>
    <w:rsid w:val="0000515D"/>
    <w:rsid w:val="00084AA8"/>
    <w:rsid w:val="001246DA"/>
    <w:rsid w:val="001F51C0"/>
    <w:rsid w:val="00271E5C"/>
    <w:rsid w:val="00361F71"/>
    <w:rsid w:val="00382C4E"/>
    <w:rsid w:val="003B526A"/>
    <w:rsid w:val="003E549B"/>
    <w:rsid w:val="005154D8"/>
    <w:rsid w:val="00556670"/>
    <w:rsid w:val="005A1609"/>
    <w:rsid w:val="005F2AF2"/>
    <w:rsid w:val="006224F1"/>
    <w:rsid w:val="0066028C"/>
    <w:rsid w:val="0066030A"/>
    <w:rsid w:val="006F1535"/>
    <w:rsid w:val="006F1943"/>
    <w:rsid w:val="007139EB"/>
    <w:rsid w:val="00757691"/>
    <w:rsid w:val="007D0979"/>
    <w:rsid w:val="008465EC"/>
    <w:rsid w:val="008C4A0D"/>
    <w:rsid w:val="00905A70"/>
    <w:rsid w:val="0094304D"/>
    <w:rsid w:val="009B5286"/>
    <w:rsid w:val="009C3671"/>
    <w:rsid w:val="009C3C20"/>
    <w:rsid w:val="00A042CE"/>
    <w:rsid w:val="00A64DBA"/>
    <w:rsid w:val="00AA156A"/>
    <w:rsid w:val="00AE370E"/>
    <w:rsid w:val="00B202F9"/>
    <w:rsid w:val="00B460D1"/>
    <w:rsid w:val="00BE0A05"/>
    <w:rsid w:val="00D1335C"/>
    <w:rsid w:val="00D66271"/>
    <w:rsid w:val="00D81741"/>
    <w:rsid w:val="00E0495B"/>
    <w:rsid w:val="00EF2A62"/>
    <w:rsid w:val="00F60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B9FB3"/>
  <w15:docId w15:val="{5CB2C5FA-D8E7-406D-A504-8B308DF84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2A62"/>
    <w:pPr>
      <w:spacing w:before="100" w:after="0" w:line="288" w:lineRule="auto"/>
    </w:pPr>
    <w:rPr>
      <w:rFonts w:ascii="Arial" w:eastAsia="Times New Roman" w:hAnsi="Arial" w:cs="Times New Roman"/>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A62"/>
    <w:pPr>
      <w:tabs>
        <w:tab w:val="center" w:pos="4680"/>
        <w:tab w:val="right" w:pos="9360"/>
      </w:tabs>
      <w:spacing w:line="240" w:lineRule="auto"/>
    </w:pPr>
  </w:style>
  <w:style w:type="character" w:customStyle="1" w:styleId="HeaderChar">
    <w:name w:val="Header Char"/>
    <w:basedOn w:val="DefaultParagraphFont"/>
    <w:link w:val="Header"/>
    <w:uiPriority w:val="99"/>
    <w:rsid w:val="00EF2A62"/>
  </w:style>
  <w:style w:type="paragraph" w:styleId="Footer">
    <w:name w:val="footer"/>
    <w:basedOn w:val="Normal"/>
    <w:link w:val="FooterChar"/>
    <w:uiPriority w:val="99"/>
    <w:unhideWhenUsed/>
    <w:rsid w:val="00EF2A62"/>
    <w:pPr>
      <w:tabs>
        <w:tab w:val="center" w:pos="4680"/>
        <w:tab w:val="right" w:pos="9360"/>
      </w:tabs>
      <w:spacing w:line="240" w:lineRule="auto"/>
    </w:pPr>
  </w:style>
  <w:style w:type="character" w:customStyle="1" w:styleId="FooterChar">
    <w:name w:val="Footer Char"/>
    <w:basedOn w:val="DefaultParagraphFont"/>
    <w:link w:val="Footer"/>
    <w:uiPriority w:val="99"/>
    <w:rsid w:val="00EF2A62"/>
  </w:style>
  <w:style w:type="paragraph" w:styleId="ListParagraph">
    <w:name w:val="List Paragraph"/>
    <w:basedOn w:val="Normal"/>
    <w:uiPriority w:val="34"/>
    <w:qFormat/>
    <w:rsid w:val="00EF2A62"/>
    <w:pPr>
      <w:ind w:left="720"/>
      <w:contextualSpacing/>
    </w:pPr>
  </w:style>
  <w:style w:type="paragraph" w:styleId="EndnoteText">
    <w:name w:val="endnote text"/>
    <w:basedOn w:val="Normal"/>
    <w:link w:val="EndnoteTextChar"/>
    <w:uiPriority w:val="99"/>
    <w:semiHidden/>
    <w:unhideWhenUsed/>
    <w:rsid w:val="00A64DBA"/>
    <w:pPr>
      <w:spacing w:before="0" w:line="240" w:lineRule="auto"/>
    </w:pPr>
  </w:style>
  <w:style w:type="character" w:customStyle="1" w:styleId="EndnoteTextChar">
    <w:name w:val="Endnote Text Char"/>
    <w:basedOn w:val="DefaultParagraphFont"/>
    <w:link w:val="EndnoteText"/>
    <w:uiPriority w:val="99"/>
    <w:semiHidden/>
    <w:rsid w:val="00A64DBA"/>
    <w:rPr>
      <w:rFonts w:ascii="Arial" w:eastAsia="Times New Roman" w:hAnsi="Arial" w:cs="Times New Roman"/>
      <w:sz w:val="20"/>
      <w:szCs w:val="20"/>
      <w:lang w:val="en-AU" w:eastAsia="en-AU"/>
    </w:rPr>
  </w:style>
  <w:style w:type="character" w:styleId="EndnoteReference">
    <w:name w:val="endnote reference"/>
    <w:basedOn w:val="DefaultParagraphFont"/>
    <w:uiPriority w:val="99"/>
    <w:semiHidden/>
    <w:unhideWhenUsed/>
    <w:rsid w:val="00A64DBA"/>
    <w:rPr>
      <w:vertAlign w:val="superscript"/>
    </w:rPr>
  </w:style>
  <w:style w:type="paragraph" w:styleId="FootnoteText">
    <w:name w:val="footnote text"/>
    <w:basedOn w:val="Normal"/>
    <w:link w:val="FootnoteTextChar"/>
    <w:uiPriority w:val="99"/>
    <w:semiHidden/>
    <w:unhideWhenUsed/>
    <w:rsid w:val="00A64DBA"/>
    <w:pPr>
      <w:spacing w:before="0" w:line="240" w:lineRule="auto"/>
    </w:pPr>
  </w:style>
  <w:style w:type="character" w:customStyle="1" w:styleId="FootnoteTextChar">
    <w:name w:val="Footnote Text Char"/>
    <w:basedOn w:val="DefaultParagraphFont"/>
    <w:link w:val="FootnoteText"/>
    <w:uiPriority w:val="99"/>
    <w:semiHidden/>
    <w:rsid w:val="00A64DBA"/>
    <w:rPr>
      <w:rFonts w:ascii="Arial" w:eastAsia="Times New Roman" w:hAnsi="Arial" w:cs="Times New Roman"/>
      <w:sz w:val="20"/>
      <w:szCs w:val="20"/>
      <w:lang w:val="en-AU" w:eastAsia="en-AU"/>
    </w:rPr>
  </w:style>
  <w:style w:type="character" w:styleId="FootnoteReference">
    <w:name w:val="footnote reference"/>
    <w:basedOn w:val="DefaultParagraphFont"/>
    <w:uiPriority w:val="99"/>
    <w:semiHidden/>
    <w:unhideWhenUsed/>
    <w:rsid w:val="00A64DBA"/>
    <w:rPr>
      <w:vertAlign w:val="superscript"/>
    </w:rPr>
  </w:style>
  <w:style w:type="paragraph" w:styleId="CommentText">
    <w:name w:val="annotation text"/>
    <w:basedOn w:val="Normal"/>
    <w:link w:val="CommentTextChar"/>
    <w:uiPriority w:val="99"/>
    <w:unhideWhenUsed/>
    <w:rsid w:val="00B460D1"/>
    <w:rPr>
      <w:sz w:val="24"/>
    </w:rPr>
  </w:style>
  <w:style w:type="character" w:customStyle="1" w:styleId="CommentTextChar">
    <w:name w:val="Comment Text Char"/>
    <w:basedOn w:val="DefaultParagraphFont"/>
    <w:link w:val="CommentText"/>
    <w:uiPriority w:val="99"/>
    <w:rsid w:val="00B460D1"/>
    <w:rPr>
      <w:rFonts w:ascii="Arial" w:eastAsia="Times New Roman" w:hAnsi="Arial" w:cs="Times New Roman"/>
      <w:sz w:val="24"/>
      <w:szCs w:val="20"/>
      <w:lang w:val="en-AU" w:eastAsia="en-AU"/>
    </w:rPr>
  </w:style>
  <w:style w:type="character" w:styleId="CommentReference">
    <w:name w:val="annotation reference"/>
    <w:basedOn w:val="DefaultParagraphFont"/>
    <w:semiHidden/>
    <w:unhideWhenUsed/>
    <w:rsid w:val="00B460D1"/>
    <w:rPr>
      <w:sz w:val="16"/>
      <w:szCs w:val="16"/>
    </w:rPr>
  </w:style>
  <w:style w:type="paragraph" w:styleId="BalloonText">
    <w:name w:val="Balloon Text"/>
    <w:basedOn w:val="Normal"/>
    <w:link w:val="BalloonTextChar"/>
    <w:uiPriority w:val="99"/>
    <w:semiHidden/>
    <w:unhideWhenUsed/>
    <w:rsid w:val="00361F7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F71"/>
    <w:rPr>
      <w:rFonts w:ascii="Segoe UI" w:eastAsia="Times New Roman" w:hAnsi="Segoe UI" w:cs="Segoe UI"/>
      <w:sz w:val="18"/>
      <w:szCs w:val="18"/>
      <w:lang w:val="en-AU" w:eastAsia="en-AU"/>
    </w:rPr>
  </w:style>
  <w:style w:type="paragraph" w:styleId="CommentSubject">
    <w:name w:val="annotation subject"/>
    <w:basedOn w:val="CommentText"/>
    <w:next w:val="CommentText"/>
    <w:link w:val="CommentSubjectChar"/>
    <w:uiPriority w:val="99"/>
    <w:semiHidden/>
    <w:unhideWhenUsed/>
    <w:rsid w:val="001F51C0"/>
    <w:pPr>
      <w:spacing w:line="240" w:lineRule="auto"/>
    </w:pPr>
    <w:rPr>
      <w:b/>
      <w:bCs/>
      <w:sz w:val="20"/>
    </w:rPr>
  </w:style>
  <w:style w:type="character" w:customStyle="1" w:styleId="CommentSubjectChar">
    <w:name w:val="Comment Subject Char"/>
    <w:basedOn w:val="CommentTextChar"/>
    <w:link w:val="CommentSubject"/>
    <w:uiPriority w:val="99"/>
    <w:semiHidden/>
    <w:rsid w:val="001F51C0"/>
    <w:rPr>
      <w:rFonts w:ascii="Arial" w:eastAsia="Times New Roman" w:hAnsi="Arial" w:cs="Times New Roman"/>
      <w:b/>
      <w:bCs/>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03D9A-81EE-450D-B8E9-BDDE8137E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John Rockhold</cp:lastModifiedBy>
  <cp:revision>2</cp:revision>
  <cp:lastPrinted>2018-05-28T08:13:00Z</cp:lastPrinted>
  <dcterms:created xsi:type="dcterms:W3CDTF">2018-05-29T09:47:00Z</dcterms:created>
  <dcterms:modified xsi:type="dcterms:W3CDTF">2018-05-29T09:47:00Z</dcterms:modified>
</cp:coreProperties>
</file>