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66C6" w14:textId="77777777" w:rsidR="00625BD0" w:rsidRPr="009A28C1" w:rsidRDefault="00625BD0" w:rsidP="00625BD0">
      <w:pPr>
        <w:shd w:val="clear" w:color="auto" w:fill="FFFFFF"/>
        <w:spacing w:line="288" w:lineRule="atLeast"/>
        <w:rPr>
          <w:rFonts w:ascii="Times New Roman" w:eastAsia="Times New Roman" w:hAnsi="Times New Roman" w:cs="Times New Roman"/>
          <w:color w:val="222222"/>
          <w:sz w:val="24"/>
          <w:szCs w:val="24"/>
        </w:rPr>
      </w:pPr>
      <w:bookmarkStart w:id="0" w:name="_GoBack"/>
      <w:bookmarkEnd w:id="0"/>
    </w:p>
    <w:p w14:paraId="1BAFBBA0" w14:textId="2A662DBF" w:rsidR="00625BD0" w:rsidRPr="009A28C1" w:rsidRDefault="00625BD0" w:rsidP="00625BD0">
      <w:pPr>
        <w:spacing w:line="240" w:lineRule="auto"/>
        <w:jc w:val="both"/>
        <w:rPr>
          <w:rFonts w:ascii="Times New Roman" w:hAnsi="Times New Roman" w:cs="Times New Roman"/>
          <w:sz w:val="24"/>
          <w:szCs w:val="24"/>
        </w:rPr>
      </w:pPr>
      <w:r w:rsidRPr="009A28C1">
        <w:rPr>
          <w:rFonts w:ascii="Times New Roman" w:hAnsi="Times New Roman" w:cs="Times New Roman"/>
          <w:sz w:val="24"/>
          <w:szCs w:val="24"/>
        </w:rPr>
        <w:t xml:space="preserve">In early June VBF attended the 2018 Asia Pacific Energy Conference – Exploring Opportunities in Renewable Energy. The conference was attend by over 150 international energy banks, developers, operators and suppliers for investment into Asia Pacific energy generation projects. Viet Nam was rated as the highest in the region for future investments, but also highest in that the current energy Power Purchase Agreements and Public Private Partnerships (PPP’s) </w:t>
      </w:r>
      <w:r w:rsidR="009A28C1">
        <w:rPr>
          <w:rFonts w:ascii="Times New Roman" w:hAnsi="Times New Roman" w:cs="Times New Roman"/>
          <w:sz w:val="24"/>
          <w:szCs w:val="24"/>
        </w:rPr>
        <w:t xml:space="preserve">that </w:t>
      </w:r>
      <w:r w:rsidRPr="009A28C1">
        <w:rPr>
          <w:rFonts w:ascii="Times New Roman" w:hAnsi="Times New Roman" w:cs="Times New Roman"/>
          <w:sz w:val="24"/>
          <w:szCs w:val="24"/>
        </w:rPr>
        <w:t>are not bankable from the perspective of international and Vietnamese investors. Why;</w:t>
      </w:r>
    </w:p>
    <w:p w14:paraId="3FBDAF1C" w14:textId="77777777" w:rsidR="00625BD0" w:rsidRPr="009A28C1" w:rsidRDefault="00625BD0" w:rsidP="00625BD0">
      <w:pPr>
        <w:numPr>
          <w:ilvl w:val="0"/>
          <w:numId w:val="8"/>
        </w:numPr>
        <w:rPr>
          <w:rFonts w:ascii="Times New Roman" w:hAnsi="Times New Roman" w:cs="Times New Roman"/>
          <w:sz w:val="24"/>
          <w:szCs w:val="24"/>
        </w:rPr>
      </w:pPr>
      <w:r w:rsidRPr="009A28C1">
        <w:rPr>
          <w:rFonts w:ascii="Times New Roman" w:hAnsi="Times New Roman" w:cs="Times New Roman"/>
          <w:sz w:val="24"/>
          <w:szCs w:val="24"/>
        </w:rPr>
        <w:t>There is no clear framework for risk allocation between government and private sector and management of associated contingent liabilities</w:t>
      </w:r>
    </w:p>
    <w:p w14:paraId="6AF391AC" w14:textId="77777777" w:rsidR="00625BD0" w:rsidRPr="009A28C1" w:rsidRDefault="00625BD0" w:rsidP="00625BD0">
      <w:pPr>
        <w:numPr>
          <w:ilvl w:val="0"/>
          <w:numId w:val="8"/>
        </w:numPr>
        <w:rPr>
          <w:rFonts w:ascii="Times New Roman" w:hAnsi="Times New Roman" w:cs="Times New Roman"/>
          <w:sz w:val="24"/>
          <w:szCs w:val="24"/>
        </w:rPr>
      </w:pPr>
      <w:r w:rsidRPr="009A28C1">
        <w:rPr>
          <w:rFonts w:ascii="Times New Roman" w:hAnsi="Times New Roman" w:cs="Times New Roman"/>
          <w:sz w:val="24"/>
          <w:szCs w:val="24"/>
        </w:rPr>
        <w:t>Reluctance of the Government to provide adequate contractual support especially for foreign exchange convertibility, termination and curtailment, off-take credit worthiness</w:t>
      </w:r>
    </w:p>
    <w:p w14:paraId="1D285EC9" w14:textId="77777777" w:rsidR="00625BD0" w:rsidRPr="009A28C1" w:rsidRDefault="00625BD0" w:rsidP="00625BD0">
      <w:pPr>
        <w:numPr>
          <w:ilvl w:val="0"/>
          <w:numId w:val="8"/>
        </w:numPr>
        <w:rPr>
          <w:rFonts w:ascii="Times New Roman" w:hAnsi="Times New Roman" w:cs="Times New Roman"/>
          <w:sz w:val="24"/>
          <w:szCs w:val="24"/>
        </w:rPr>
      </w:pPr>
      <w:r w:rsidRPr="009A28C1">
        <w:rPr>
          <w:rFonts w:ascii="Times New Roman" w:hAnsi="Times New Roman" w:cs="Times New Roman"/>
          <w:sz w:val="24"/>
          <w:szCs w:val="24"/>
        </w:rPr>
        <w:t>Procurement and negotiation of PPPs</w:t>
      </w:r>
    </w:p>
    <w:p w14:paraId="30C8FCB1" w14:textId="77777777" w:rsidR="00625BD0" w:rsidRPr="009A28C1" w:rsidRDefault="00625BD0" w:rsidP="00625BD0">
      <w:pPr>
        <w:numPr>
          <w:ilvl w:val="0"/>
          <w:numId w:val="8"/>
        </w:numPr>
        <w:rPr>
          <w:rFonts w:ascii="Times New Roman" w:hAnsi="Times New Roman" w:cs="Times New Roman"/>
          <w:sz w:val="24"/>
          <w:szCs w:val="24"/>
        </w:rPr>
      </w:pPr>
      <w:r w:rsidRPr="009A28C1">
        <w:rPr>
          <w:rFonts w:ascii="Times New Roman" w:hAnsi="Times New Roman" w:cs="Times New Roman"/>
          <w:sz w:val="24"/>
          <w:szCs w:val="24"/>
        </w:rPr>
        <w:t>Viet Nam did not develop similar successful power generation investment policies used in other ASEAN countries for Private Sector involvement and participation.</w:t>
      </w:r>
    </w:p>
    <w:p w14:paraId="2992EA91" w14:textId="2B1ACB20" w:rsidR="00625BD0" w:rsidRPr="009A28C1" w:rsidRDefault="00625BD0" w:rsidP="00625BD0">
      <w:pPr>
        <w:ind w:left="360"/>
        <w:rPr>
          <w:rFonts w:ascii="Times New Roman" w:hAnsi="Times New Roman" w:cs="Times New Roman"/>
          <w:sz w:val="24"/>
          <w:szCs w:val="24"/>
        </w:rPr>
      </w:pPr>
      <w:r w:rsidRPr="009A28C1">
        <w:rPr>
          <w:rFonts w:ascii="Times New Roman" w:hAnsi="Times New Roman" w:cs="Times New Roman"/>
          <w:sz w:val="24"/>
          <w:szCs w:val="24"/>
        </w:rPr>
        <w:t xml:space="preserve">The </w:t>
      </w:r>
      <w:r w:rsidR="009A28C1">
        <w:rPr>
          <w:rFonts w:ascii="Times New Roman" w:hAnsi="Times New Roman" w:cs="Times New Roman"/>
          <w:sz w:val="24"/>
          <w:szCs w:val="24"/>
        </w:rPr>
        <w:t xml:space="preserve">VBF </w:t>
      </w:r>
      <w:r w:rsidRPr="009A28C1">
        <w:rPr>
          <w:rFonts w:ascii="Times New Roman" w:hAnsi="Times New Roman" w:cs="Times New Roman"/>
          <w:sz w:val="24"/>
          <w:szCs w:val="24"/>
        </w:rPr>
        <w:t>Working Group can bring value to the power and energy planning process:</w:t>
      </w:r>
    </w:p>
    <w:p w14:paraId="043D9578" w14:textId="77777777" w:rsidR="00625BD0" w:rsidRPr="009A28C1" w:rsidRDefault="00625BD0" w:rsidP="00625BD0">
      <w:pPr>
        <w:numPr>
          <w:ilvl w:val="0"/>
          <w:numId w:val="6"/>
        </w:numPr>
        <w:rPr>
          <w:rFonts w:ascii="Times New Roman" w:hAnsi="Times New Roman" w:cs="Times New Roman"/>
          <w:sz w:val="24"/>
          <w:szCs w:val="24"/>
        </w:rPr>
      </w:pPr>
      <w:r w:rsidRPr="009A28C1">
        <w:rPr>
          <w:rFonts w:ascii="Times New Roman" w:hAnsi="Times New Roman" w:cs="Times New Roman"/>
          <w:sz w:val="24"/>
          <w:szCs w:val="24"/>
        </w:rPr>
        <w:t>Accurate analysis of current power market conditions in Vietnam/ASEAN</w:t>
      </w:r>
    </w:p>
    <w:p w14:paraId="499BD96F" w14:textId="77777777" w:rsidR="00625BD0" w:rsidRPr="009A28C1" w:rsidRDefault="00625BD0" w:rsidP="00625BD0">
      <w:pPr>
        <w:numPr>
          <w:ilvl w:val="0"/>
          <w:numId w:val="6"/>
        </w:numPr>
        <w:rPr>
          <w:rFonts w:ascii="Times New Roman" w:hAnsi="Times New Roman" w:cs="Times New Roman"/>
          <w:sz w:val="24"/>
          <w:szCs w:val="24"/>
        </w:rPr>
      </w:pPr>
      <w:r w:rsidRPr="009A28C1">
        <w:rPr>
          <w:rFonts w:ascii="Times New Roman" w:hAnsi="Times New Roman" w:cs="Times New Roman"/>
          <w:sz w:val="24"/>
          <w:szCs w:val="24"/>
        </w:rPr>
        <w:t>Quantifying the Financial Resources: what is available and what conditions apply</w:t>
      </w:r>
    </w:p>
    <w:p w14:paraId="7AF1640B" w14:textId="77777777" w:rsidR="00625BD0" w:rsidRPr="009A28C1" w:rsidRDefault="00625BD0" w:rsidP="00625BD0">
      <w:pPr>
        <w:numPr>
          <w:ilvl w:val="0"/>
          <w:numId w:val="6"/>
        </w:numPr>
        <w:rPr>
          <w:rFonts w:ascii="Times New Roman" w:hAnsi="Times New Roman" w:cs="Times New Roman"/>
          <w:sz w:val="24"/>
          <w:szCs w:val="24"/>
        </w:rPr>
      </w:pPr>
      <w:r w:rsidRPr="009A28C1">
        <w:rPr>
          <w:rFonts w:ascii="Times New Roman" w:hAnsi="Times New Roman" w:cs="Times New Roman"/>
          <w:sz w:val="24"/>
          <w:szCs w:val="24"/>
        </w:rPr>
        <w:t xml:space="preserve">A Partnership to deliver energy security, in a power market that needs to attract $56 Bn power generation investment before 2030.  </w:t>
      </w:r>
    </w:p>
    <w:p w14:paraId="4E075C84" w14:textId="77777777" w:rsidR="009A28C1" w:rsidRPr="009A28C1" w:rsidRDefault="009A28C1" w:rsidP="00625BD0">
      <w:pPr>
        <w:shd w:val="clear" w:color="auto" w:fill="FFFFFF"/>
        <w:spacing w:line="288" w:lineRule="atLeast"/>
        <w:ind w:left="720" w:hanging="360"/>
        <w:rPr>
          <w:rFonts w:ascii="Times New Roman" w:eastAsia="Times New Roman" w:hAnsi="Times New Roman" w:cs="Times New Roman"/>
          <w:color w:val="222222"/>
          <w:sz w:val="24"/>
          <w:szCs w:val="24"/>
        </w:rPr>
      </w:pPr>
    </w:p>
    <w:p w14:paraId="3C4DF93B" w14:textId="711F2177" w:rsidR="00DB5113" w:rsidRPr="009A28C1" w:rsidRDefault="00DB5113" w:rsidP="009A28C1">
      <w:pPr>
        <w:pStyle w:val="ListParagraph"/>
        <w:numPr>
          <w:ilvl w:val="0"/>
          <w:numId w:val="10"/>
        </w:numPr>
        <w:shd w:val="clear" w:color="auto" w:fill="FFFFFF"/>
        <w:spacing w:line="288" w:lineRule="atLeast"/>
        <w:rPr>
          <w:rFonts w:ascii="Times New Roman" w:eastAsia="Times New Roman" w:hAnsi="Times New Roman" w:cs="Times New Roman"/>
          <w:color w:val="222222"/>
        </w:rPr>
      </w:pPr>
      <w:r w:rsidRPr="009A28C1">
        <w:rPr>
          <w:rFonts w:ascii="Times New Roman" w:eastAsia="Times New Roman" w:hAnsi="Times New Roman" w:cs="Times New Roman"/>
          <w:color w:val="222222"/>
          <w:sz w:val="24"/>
          <w:szCs w:val="24"/>
        </w:rPr>
        <w:t>Standard Power Purchase Agreements for Wind and Solar Energy – the economic benefits to</w:t>
      </w:r>
      <w:r w:rsidR="00625BD0" w:rsidRPr="009A28C1">
        <w:rPr>
          <w:rFonts w:ascii="Times New Roman" w:eastAsia="Times New Roman" w:hAnsi="Times New Roman" w:cs="Times New Roman"/>
          <w:color w:val="222222"/>
          <w:sz w:val="24"/>
          <w:szCs w:val="24"/>
        </w:rPr>
        <w:t xml:space="preserve"> </w:t>
      </w:r>
      <w:r w:rsidRPr="009A28C1">
        <w:rPr>
          <w:rFonts w:ascii="Times New Roman" w:eastAsia="Times New Roman" w:hAnsi="Times New Roman" w:cs="Times New Roman"/>
          <w:color w:val="222222"/>
          <w:sz w:val="24"/>
          <w:szCs w:val="24"/>
        </w:rPr>
        <w:t>Vietnam of offering Agreement terms that attract international bank finance</w:t>
      </w:r>
      <w:r w:rsidR="0024588C" w:rsidRPr="009A28C1">
        <w:rPr>
          <w:rFonts w:ascii="Times New Roman" w:eastAsia="Times New Roman" w:hAnsi="Times New Roman" w:cs="Times New Roman"/>
          <w:color w:val="222222"/>
          <w:sz w:val="24"/>
          <w:szCs w:val="24"/>
        </w:rPr>
        <w:t>.</w:t>
      </w:r>
    </w:p>
    <w:p w14:paraId="4B2D3E7F" w14:textId="27031C4F" w:rsidR="0024588C" w:rsidRPr="009A28C1" w:rsidRDefault="0024588C" w:rsidP="009A28C1">
      <w:pPr>
        <w:ind w:left="720"/>
        <w:rPr>
          <w:rFonts w:ascii="Times New Roman" w:hAnsi="Times New Roman" w:cs="Times New Roman"/>
          <w:sz w:val="24"/>
          <w:szCs w:val="24"/>
        </w:rPr>
      </w:pPr>
      <w:r w:rsidRPr="009A28C1">
        <w:rPr>
          <w:rFonts w:ascii="Times New Roman" w:hAnsi="Times New Roman" w:cs="Times New Roman"/>
          <w:sz w:val="24"/>
          <w:szCs w:val="24"/>
        </w:rPr>
        <w:t>Presently t</w:t>
      </w:r>
      <w:r w:rsidRPr="009A28C1">
        <w:rPr>
          <w:rFonts w:ascii="Times New Roman" w:hAnsi="Times New Roman" w:cs="Times New Roman"/>
          <w:sz w:val="24"/>
          <w:szCs w:val="24"/>
        </w:rPr>
        <w:t>here is no clear framework for risk allocation between government and private sector and management of associated contingent liabilities</w:t>
      </w:r>
    </w:p>
    <w:p w14:paraId="21C36E6C" w14:textId="77777777" w:rsidR="0024588C" w:rsidRPr="009A28C1" w:rsidRDefault="0024588C" w:rsidP="0024588C">
      <w:pPr>
        <w:ind w:left="720"/>
        <w:rPr>
          <w:rFonts w:ascii="Times New Roman" w:hAnsi="Times New Roman" w:cs="Times New Roman"/>
          <w:sz w:val="24"/>
          <w:szCs w:val="24"/>
        </w:rPr>
      </w:pPr>
      <w:r w:rsidRPr="009A28C1">
        <w:rPr>
          <w:rFonts w:ascii="Times New Roman" w:hAnsi="Times New Roman" w:cs="Times New Roman"/>
          <w:sz w:val="24"/>
          <w:szCs w:val="24"/>
        </w:rPr>
        <w:t>Reluctance of the Government to provide adequate contractual support especially for foreign exchange convertibility, termination and curtailment, off-take credit worthiness</w:t>
      </w:r>
    </w:p>
    <w:p w14:paraId="5A4968BD" w14:textId="6D07B2D1" w:rsidR="00DB5113" w:rsidRPr="009A28C1" w:rsidRDefault="00DB5113" w:rsidP="00DB5113">
      <w:pPr>
        <w:numPr>
          <w:ilvl w:val="0"/>
          <w:numId w:val="2"/>
        </w:numPr>
        <w:shd w:val="clear" w:color="auto" w:fill="FFFFFF"/>
        <w:spacing w:line="288" w:lineRule="atLeast"/>
        <w:rPr>
          <w:rFonts w:ascii="Times New Roman" w:eastAsia="Times New Roman" w:hAnsi="Times New Roman" w:cs="Times New Roman"/>
          <w:color w:val="222222"/>
        </w:rPr>
      </w:pPr>
      <w:r w:rsidRPr="00DB5113">
        <w:rPr>
          <w:rFonts w:ascii="Times New Roman" w:eastAsia="Times New Roman" w:hAnsi="Times New Roman" w:cs="Times New Roman"/>
          <w:color w:val="222222"/>
          <w:sz w:val="24"/>
          <w:szCs w:val="24"/>
        </w:rPr>
        <w:t xml:space="preserve">How can we support Local Power Production (By Rooftop Solar) – the economic benefits of increasing the exemption from the requirement for a power operations </w:t>
      </w:r>
      <w:r w:rsidR="009A28C1" w:rsidRPr="00DB5113">
        <w:rPr>
          <w:rFonts w:ascii="Times New Roman" w:eastAsia="Times New Roman" w:hAnsi="Times New Roman" w:cs="Times New Roman"/>
          <w:color w:val="222222"/>
          <w:sz w:val="24"/>
          <w:szCs w:val="24"/>
        </w:rPr>
        <w:t>license</w:t>
      </w:r>
      <w:r w:rsidRPr="00DB5113">
        <w:rPr>
          <w:rFonts w:ascii="Times New Roman" w:eastAsia="Times New Roman" w:hAnsi="Times New Roman" w:cs="Times New Roman"/>
          <w:color w:val="222222"/>
          <w:sz w:val="24"/>
          <w:szCs w:val="24"/>
        </w:rPr>
        <w:t xml:space="preserve"> to 3mw under Circular No. 12/2017/TT-BCT</w:t>
      </w:r>
    </w:p>
    <w:p w14:paraId="27D26259" w14:textId="6E129035" w:rsidR="00DB5113" w:rsidRPr="009A28C1" w:rsidRDefault="00DB5113" w:rsidP="00DB5113">
      <w:pPr>
        <w:pStyle w:val="m6188377913096140686msolistparagraph"/>
        <w:shd w:val="clear" w:color="auto" w:fill="FFFFFF"/>
        <w:ind w:left="720"/>
        <w:rPr>
          <w:color w:val="222222"/>
        </w:rPr>
      </w:pPr>
      <w:r w:rsidRPr="009A28C1">
        <w:rPr>
          <w:color w:val="222222"/>
        </w:rPr>
        <w:t xml:space="preserve"> EVN/MOIT has apparently submitted a request to </w:t>
      </w:r>
      <w:r w:rsidRPr="009A28C1">
        <w:rPr>
          <w:b/>
          <w:bCs/>
          <w:color w:val="222222"/>
        </w:rPr>
        <w:t>Change the Solar Rooftop Regulations</w:t>
      </w:r>
      <w:r w:rsidRPr="009A28C1">
        <w:rPr>
          <w:color w:val="222222"/>
        </w:rPr>
        <w:t xml:space="preserve"> to Ministry of Finance. EVN suggests scrapping NET EXPORT and instead copying Thailand, where 100% of rooftop solar electricity produced is sent to the grid by building owners (Each consumer has 2 meters – 1 import and 1 export). </w:t>
      </w:r>
      <w:r w:rsidRPr="009A28C1">
        <w:rPr>
          <w:color w:val="222222"/>
        </w:rPr>
        <w:t xml:space="preserve">We </w:t>
      </w:r>
      <w:r w:rsidRPr="009A28C1">
        <w:rPr>
          <w:color w:val="222222"/>
        </w:rPr>
        <w:t xml:space="preserve">don’t know whether this applies to all consumers (Residential, Commercial and Industrial), or how EVN intends to pay for such 100% export. This might stimulate increased consumer </w:t>
      </w:r>
      <w:r w:rsidRPr="009A28C1">
        <w:rPr>
          <w:color w:val="222222"/>
        </w:rPr>
        <w:lastRenderedPageBreak/>
        <w:t>demand for solar, but will bring confusion and delay unless the admin, payment and tax issues are more clearly defined and documented</w:t>
      </w:r>
      <w:r w:rsidRPr="009A28C1">
        <w:rPr>
          <w:color w:val="222222"/>
        </w:rPr>
        <w:t>.</w:t>
      </w:r>
      <w:r w:rsidRPr="009A28C1">
        <w:rPr>
          <w:color w:val="222222"/>
        </w:rPr>
        <w:t xml:space="preserve"> </w:t>
      </w:r>
    </w:p>
    <w:p w14:paraId="2602ED5B" w14:textId="6BE7F7C2" w:rsidR="009A28C1" w:rsidRPr="00A753E6" w:rsidRDefault="00DB5113" w:rsidP="00A753E6">
      <w:pPr>
        <w:pStyle w:val="m6188377913096140686msolistparagraph"/>
        <w:shd w:val="clear" w:color="auto" w:fill="FFFFFF"/>
        <w:ind w:left="720"/>
        <w:rPr>
          <w:color w:val="222222"/>
        </w:rPr>
      </w:pPr>
      <w:r w:rsidRPr="009A28C1">
        <w:rPr>
          <w:color w:val="222222"/>
        </w:rPr>
        <w:t xml:space="preserve">Private sector has concern that </w:t>
      </w:r>
      <w:r w:rsidR="00D27E2F" w:rsidRPr="009A28C1">
        <w:rPr>
          <w:color w:val="222222"/>
        </w:rPr>
        <w:t xml:space="preserve">for power in the southern commercial and industrial hubs, Would Bank showing 6 GW of solar roof top available. Private sector wants to invest in roof top and has the funds now. </w:t>
      </w:r>
      <w:r w:rsidR="009A28C1">
        <w:rPr>
          <w:color w:val="222222"/>
        </w:rPr>
        <w:t>If at the table in discussions especially in HCMC and surrounding cities VBF firms can invest in 2 GW for operation in 2020. Some major firms have capacity for 3 MW and why keep them out of the market,</w:t>
      </w:r>
      <w:r w:rsidR="00D27E2F" w:rsidRPr="009A28C1">
        <w:rPr>
          <w:color w:val="222222"/>
        </w:rPr>
        <w:t xml:space="preserve"> </w:t>
      </w:r>
    </w:p>
    <w:p w14:paraId="46CD78B8" w14:textId="79C6F8B5" w:rsidR="00DB5113" w:rsidRPr="009A28C1" w:rsidRDefault="00DB5113" w:rsidP="009A28C1">
      <w:pPr>
        <w:pStyle w:val="m6188377913096140686msolistparagraph"/>
        <w:numPr>
          <w:ilvl w:val="0"/>
          <w:numId w:val="2"/>
        </w:numPr>
        <w:shd w:val="clear" w:color="auto" w:fill="FFFFFF"/>
        <w:rPr>
          <w:color w:val="222222"/>
          <w:sz w:val="22"/>
          <w:szCs w:val="22"/>
        </w:rPr>
      </w:pPr>
      <w:r w:rsidRPr="00DB5113">
        <w:rPr>
          <w:color w:val="222222"/>
        </w:rPr>
        <w:t xml:space="preserve">Vietnam’s Readiness for Climate Finance Support Mechanisms to support the private sector (e.g. UK Sustainable Infrastructure </w:t>
      </w:r>
      <w:proofErr w:type="spellStart"/>
      <w:r w:rsidRPr="00DB5113">
        <w:rPr>
          <w:color w:val="222222"/>
        </w:rPr>
        <w:t>Programme</w:t>
      </w:r>
      <w:proofErr w:type="spellEnd"/>
      <w:r w:rsidRPr="00DB5113">
        <w:rPr>
          <w:color w:val="222222"/>
        </w:rPr>
        <w:t>, Green Climate Fund, Germany’s “Get Fit”)</w:t>
      </w:r>
      <w:r w:rsidR="00625BD0" w:rsidRPr="009A28C1">
        <w:rPr>
          <w:color w:val="222222"/>
        </w:rPr>
        <w:t>.</w:t>
      </w:r>
    </w:p>
    <w:p w14:paraId="6936B84A" w14:textId="77777777" w:rsidR="00625BD0" w:rsidRPr="009A28C1" w:rsidRDefault="00625BD0" w:rsidP="00625BD0">
      <w:pPr>
        <w:pStyle w:val="ListParagraph"/>
        <w:rPr>
          <w:rFonts w:ascii="Times New Roman" w:hAnsi="Times New Roman" w:cs="Times New Roman"/>
          <w:bCs/>
          <w:sz w:val="24"/>
          <w:szCs w:val="24"/>
        </w:rPr>
      </w:pPr>
      <w:r w:rsidRPr="009A28C1">
        <w:rPr>
          <w:rFonts w:ascii="Times New Roman" w:hAnsi="Times New Roman" w:cs="Times New Roman"/>
          <w:bCs/>
          <w:sz w:val="24"/>
          <w:szCs w:val="24"/>
        </w:rPr>
        <w:t xml:space="preserve">We are happy to announce that the </w:t>
      </w:r>
      <w:r w:rsidRPr="009A28C1">
        <w:rPr>
          <w:rFonts w:ascii="Times New Roman" w:hAnsi="Times New Roman" w:cs="Times New Roman"/>
          <w:b/>
          <w:bCs/>
          <w:sz w:val="24"/>
          <w:szCs w:val="24"/>
        </w:rPr>
        <w:t>Green Climate Fund</w:t>
      </w:r>
      <w:r w:rsidRPr="009A28C1">
        <w:rPr>
          <w:rFonts w:ascii="Times New Roman" w:hAnsi="Times New Roman" w:cs="Times New Roman"/>
          <w:bCs/>
          <w:sz w:val="24"/>
          <w:szCs w:val="24"/>
        </w:rPr>
        <w:t xml:space="preserve"> set-up by 194 countries of the United Nations Framework Convention on Climate Change and given a role of supporting the 2015 Paris agreement has recognize Viet Nam Business Forum Power and Energy Working Group and on June 19, 2018 and awarded Observer Status and invited to meetings.  </w:t>
      </w:r>
    </w:p>
    <w:p w14:paraId="539D00A3" w14:textId="687F5B45" w:rsidR="00DB5113" w:rsidRPr="00DB5113" w:rsidRDefault="00625BD0" w:rsidP="009A28C1">
      <w:pPr>
        <w:pStyle w:val="ListParagraph"/>
        <w:rPr>
          <w:rFonts w:ascii="Times New Roman" w:hAnsi="Times New Roman" w:cs="Times New Roman"/>
          <w:bCs/>
          <w:sz w:val="24"/>
          <w:szCs w:val="24"/>
        </w:rPr>
      </w:pPr>
      <w:r w:rsidRPr="009A28C1">
        <w:rPr>
          <w:rFonts w:ascii="Times New Roman" w:hAnsi="Times New Roman" w:cs="Times New Roman"/>
          <w:b/>
          <w:bCs/>
          <w:sz w:val="24"/>
          <w:szCs w:val="24"/>
        </w:rPr>
        <w:t>Readiness for Climate Finance Support</w:t>
      </w:r>
      <w:r w:rsidRPr="009A28C1">
        <w:rPr>
          <w:rFonts w:ascii="Times New Roman" w:hAnsi="Times New Roman" w:cs="Times New Roman"/>
          <w:sz w:val="24"/>
          <w:szCs w:val="24"/>
        </w:rPr>
        <w:t xml:space="preserve">: has no defined role for the private Sector </w:t>
      </w:r>
    </w:p>
    <w:p w14:paraId="492E463B" w14:textId="77777777" w:rsidR="00DB5113" w:rsidRPr="00DB5113" w:rsidRDefault="00DB5113" w:rsidP="00DB5113">
      <w:pPr>
        <w:numPr>
          <w:ilvl w:val="0"/>
          <w:numId w:val="4"/>
        </w:numPr>
        <w:shd w:val="clear" w:color="auto" w:fill="FFFFFF"/>
        <w:spacing w:line="288" w:lineRule="atLeast"/>
        <w:rPr>
          <w:rFonts w:ascii="Times New Roman" w:eastAsia="Times New Roman" w:hAnsi="Times New Roman" w:cs="Times New Roman"/>
          <w:color w:val="222222"/>
        </w:rPr>
      </w:pPr>
      <w:r w:rsidRPr="00DB5113">
        <w:rPr>
          <w:rFonts w:ascii="Times New Roman" w:eastAsia="Times New Roman" w:hAnsi="Times New Roman" w:cs="Times New Roman"/>
          <w:color w:val="222222"/>
          <w:sz w:val="24"/>
          <w:szCs w:val="24"/>
        </w:rPr>
        <w:t>Direct Power Purchase Agreements – an essential element of an electricity market to meet power consumer’s demand for Access to Clean Energy</w:t>
      </w:r>
    </w:p>
    <w:p w14:paraId="1D4ED6A6" w14:textId="5B17A2DF" w:rsidR="0024588C" w:rsidRPr="009A28C1" w:rsidRDefault="0024588C" w:rsidP="0024588C">
      <w:pPr>
        <w:ind w:left="720"/>
        <w:rPr>
          <w:rFonts w:ascii="Times New Roman" w:hAnsi="Times New Roman" w:cs="Times New Roman"/>
          <w:b/>
          <w:bCs/>
          <w:sz w:val="24"/>
          <w:szCs w:val="24"/>
        </w:rPr>
      </w:pPr>
      <w:r w:rsidRPr="009A28C1">
        <w:rPr>
          <w:rFonts w:ascii="Times New Roman" w:hAnsi="Times New Roman" w:cs="Times New Roman"/>
          <w:b/>
          <w:bCs/>
          <w:sz w:val="24"/>
          <w:szCs w:val="24"/>
        </w:rPr>
        <w:t xml:space="preserve">The present </w:t>
      </w:r>
      <w:r w:rsidRPr="009A28C1">
        <w:rPr>
          <w:rFonts w:ascii="Times New Roman" w:hAnsi="Times New Roman" w:cs="Times New Roman"/>
          <w:b/>
          <w:bCs/>
          <w:sz w:val="24"/>
          <w:szCs w:val="24"/>
        </w:rPr>
        <w:t xml:space="preserve">Working Group - Direct Power Purchase </w:t>
      </w:r>
      <w:proofErr w:type="gramStart"/>
      <w:r w:rsidRPr="009A28C1">
        <w:rPr>
          <w:rFonts w:ascii="Times New Roman" w:hAnsi="Times New Roman" w:cs="Times New Roman"/>
          <w:b/>
          <w:bCs/>
          <w:sz w:val="24"/>
          <w:szCs w:val="24"/>
        </w:rPr>
        <w:t xml:space="preserve">Agreement </w:t>
      </w:r>
      <w:r w:rsidRPr="009A28C1">
        <w:rPr>
          <w:rFonts w:ascii="Times New Roman" w:hAnsi="Times New Roman" w:cs="Times New Roman"/>
          <w:sz w:val="24"/>
          <w:szCs w:val="24"/>
        </w:rPr>
        <w:t>:</w:t>
      </w:r>
      <w:proofErr w:type="gramEnd"/>
      <w:r w:rsidRPr="009A28C1">
        <w:rPr>
          <w:rFonts w:ascii="Times New Roman" w:hAnsi="Times New Roman" w:cs="Times New Roman"/>
          <w:sz w:val="24"/>
          <w:szCs w:val="24"/>
        </w:rPr>
        <w:t xml:space="preserve"> has no private sector representation, private companies in Viet Nam with actual investment, development, implementation and operation are not at the table for developing Viet Nam policy. </w:t>
      </w:r>
      <w:r w:rsidRPr="009A28C1">
        <w:rPr>
          <w:rFonts w:ascii="Times New Roman" w:hAnsi="Times New Roman" w:cs="Times New Roman"/>
          <w:sz w:val="24"/>
          <w:szCs w:val="24"/>
        </w:rPr>
        <w:t xml:space="preserve"> I</w:t>
      </w:r>
      <w:r w:rsidRPr="009A28C1">
        <w:rPr>
          <w:rFonts w:ascii="Times New Roman" w:hAnsi="Times New Roman" w:cs="Times New Roman"/>
          <w:sz w:val="24"/>
          <w:szCs w:val="24"/>
        </w:rPr>
        <w:t xml:space="preserve">nclude VBF and the other Vietnamese and International private sector representative groups in all these policy and planning processes and begin </w:t>
      </w:r>
      <w:r w:rsidRPr="009A28C1">
        <w:rPr>
          <w:rFonts w:ascii="Times New Roman" w:hAnsi="Times New Roman" w:cs="Times New Roman"/>
          <w:b/>
          <w:bCs/>
          <w:sz w:val="24"/>
          <w:szCs w:val="24"/>
        </w:rPr>
        <w:t>Development through Private Sector Partnership.</w:t>
      </w:r>
    </w:p>
    <w:p w14:paraId="7E190CF2" w14:textId="6202C631" w:rsidR="00D27E2F" w:rsidRPr="009A28C1" w:rsidRDefault="00D27E2F" w:rsidP="0024588C">
      <w:pPr>
        <w:shd w:val="clear" w:color="auto" w:fill="FFFFFF"/>
        <w:spacing w:line="288" w:lineRule="atLeast"/>
        <w:rPr>
          <w:rFonts w:ascii="Times New Roman" w:eastAsia="Times New Roman" w:hAnsi="Times New Roman" w:cs="Times New Roman"/>
          <w:i/>
          <w:iCs/>
          <w:color w:val="222222"/>
          <w:sz w:val="24"/>
          <w:szCs w:val="24"/>
        </w:rPr>
      </w:pPr>
    </w:p>
    <w:p w14:paraId="08EA4155" w14:textId="77777777" w:rsidR="00D27E2F" w:rsidRPr="009A28C1" w:rsidRDefault="00D27E2F" w:rsidP="00D27E2F">
      <w:pPr>
        <w:spacing w:line="240" w:lineRule="auto"/>
        <w:jc w:val="both"/>
        <w:rPr>
          <w:rFonts w:ascii="Times New Roman" w:hAnsi="Times New Roman" w:cs="Times New Roman"/>
          <w:sz w:val="24"/>
          <w:szCs w:val="24"/>
        </w:rPr>
      </w:pPr>
      <w:r w:rsidRPr="009A28C1">
        <w:rPr>
          <w:rFonts w:ascii="Times New Roman" w:hAnsi="Times New Roman" w:cs="Times New Roman"/>
          <w:sz w:val="24"/>
          <w:szCs w:val="24"/>
        </w:rPr>
        <w:t xml:space="preserve">VBF welcomes and would like to participate in the analysis and recommendations for Power Master Plan 8 (PMP8). A key issue is to design PMP8 to encourage and enable linkages between Private international finance and technology with domestic banks and company know-how, and to develop a market which attracts major Vietnamese and International corporations and SMEs alike.  </w:t>
      </w:r>
    </w:p>
    <w:p w14:paraId="55F02DFA" w14:textId="77777777" w:rsidR="00D27E2F" w:rsidRPr="009A28C1" w:rsidRDefault="00D27E2F" w:rsidP="00D27E2F">
      <w:pPr>
        <w:rPr>
          <w:rFonts w:ascii="Times New Roman" w:hAnsi="Times New Roman" w:cs="Times New Roman"/>
          <w:sz w:val="24"/>
          <w:szCs w:val="24"/>
        </w:rPr>
      </w:pPr>
      <w:r w:rsidRPr="009A28C1">
        <w:rPr>
          <w:rFonts w:ascii="Times New Roman" w:hAnsi="Times New Roman" w:cs="Times New Roman"/>
          <w:b/>
          <w:bCs/>
          <w:sz w:val="24"/>
          <w:szCs w:val="24"/>
        </w:rPr>
        <w:t>Missed Opportunities?</w:t>
      </w:r>
    </w:p>
    <w:p w14:paraId="7A20B9B1" w14:textId="77777777" w:rsidR="00D27E2F" w:rsidRPr="009A28C1" w:rsidRDefault="00D27E2F" w:rsidP="00D27E2F">
      <w:pPr>
        <w:numPr>
          <w:ilvl w:val="0"/>
          <w:numId w:val="7"/>
        </w:numPr>
        <w:rPr>
          <w:rFonts w:ascii="Times New Roman" w:hAnsi="Times New Roman" w:cs="Times New Roman"/>
          <w:sz w:val="24"/>
          <w:szCs w:val="24"/>
        </w:rPr>
      </w:pPr>
      <w:r w:rsidRPr="009A28C1">
        <w:rPr>
          <w:rFonts w:ascii="Times New Roman" w:hAnsi="Times New Roman" w:cs="Times New Roman"/>
          <w:b/>
          <w:bCs/>
          <w:sz w:val="24"/>
          <w:szCs w:val="24"/>
        </w:rPr>
        <w:t>Vietnam Energy Partnership Group</w:t>
      </w:r>
      <w:r w:rsidRPr="009A28C1">
        <w:rPr>
          <w:rFonts w:ascii="Times New Roman" w:hAnsi="Times New Roman" w:cs="Times New Roman"/>
          <w:sz w:val="24"/>
          <w:szCs w:val="24"/>
        </w:rPr>
        <w:t>: has no private sector Partner</w:t>
      </w:r>
    </w:p>
    <w:p w14:paraId="5480AE64" w14:textId="77777777" w:rsidR="00D27E2F" w:rsidRPr="009A28C1" w:rsidRDefault="00D27E2F" w:rsidP="00D27E2F">
      <w:pPr>
        <w:numPr>
          <w:ilvl w:val="0"/>
          <w:numId w:val="7"/>
        </w:numPr>
        <w:rPr>
          <w:rFonts w:ascii="Times New Roman" w:hAnsi="Times New Roman" w:cs="Times New Roman"/>
          <w:sz w:val="24"/>
          <w:szCs w:val="24"/>
        </w:rPr>
      </w:pPr>
      <w:r w:rsidRPr="009A28C1">
        <w:rPr>
          <w:rFonts w:ascii="Times New Roman" w:hAnsi="Times New Roman" w:cs="Times New Roman"/>
          <w:b/>
          <w:bCs/>
          <w:sz w:val="24"/>
          <w:szCs w:val="24"/>
        </w:rPr>
        <w:t xml:space="preserve">Working Group - Direct Power Purchase </w:t>
      </w:r>
      <w:proofErr w:type="gramStart"/>
      <w:r w:rsidRPr="009A28C1">
        <w:rPr>
          <w:rFonts w:ascii="Times New Roman" w:hAnsi="Times New Roman" w:cs="Times New Roman"/>
          <w:b/>
          <w:bCs/>
          <w:sz w:val="24"/>
          <w:szCs w:val="24"/>
        </w:rPr>
        <w:t xml:space="preserve">Agreement </w:t>
      </w:r>
      <w:r w:rsidRPr="009A28C1">
        <w:rPr>
          <w:rFonts w:ascii="Times New Roman" w:hAnsi="Times New Roman" w:cs="Times New Roman"/>
          <w:sz w:val="24"/>
          <w:szCs w:val="24"/>
        </w:rPr>
        <w:t>:</w:t>
      </w:r>
      <w:proofErr w:type="gramEnd"/>
      <w:r w:rsidRPr="009A28C1">
        <w:rPr>
          <w:rFonts w:ascii="Times New Roman" w:hAnsi="Times New Roman" w:cs="Times New Roman"/>
          <w:sz w:val="24"/>
          <w:szCs w:val="24"/>
        </w:rPr>
        <w:t xml:space="preserve"> has no private sector representation, private companies in Viet Nam with actual investment, development, implementation and operation are not at the table for developing Viet Nam policy. </w:t>
      </w:r>
    </w:p>
    <w:p w14:paraId="67AF0C2A" w14:textId="77777777" w:rsidR="00D27E2F" w:rsidRPr="009A28C1" w:rsidRDefault="00D27E2F" w:rsidP="00D27E2F">
      <w:pPr>
        <w:numPr>
          <w:ilvl w:val="0"/>
          <w:numId w:val="7"/>
        </w:numPr>
        <w:rPr>
          <w:rFonts w:ascii="Times New Roman" w:hAnsi="Times New Roman" w:cs="Times New Roman"/>
          <w:sz w:val="24"/>
          <w:szCs w:val="24"/>
        </w:rPr>
      </w:pPr>
      <w:r w:rsidRPr="009A28C1">
        <w:rPr>
          <w:rFonts w:ascii="Times New Roman" w:hAnsi="Times New Roman" w:cs="Times New Roman"/>
          <w:b/>
          <w:bCs/>
          <w:sz w:val="24"/>
          <w:szCs w:val="24"/>
        </w:rPr>
        <w:t>Readiness for Climate Finance Support</w:t>
      </w:r>
      <w:r w:rsidRPr="009A28C1">
        <w:rPr>
          <w:rFonts w:ascii="Times New Roman" w:hAnsi="Times New Roman" w:cs="Times New Roman"/>
          <w:sz w:val="24"/>
          <w:szCs w:val="24"/>
        </w:rPr>
        <w:t xml:space="preserve">: has no defined role for the private Sector </w:t>
      </w:r>
    </w:p>
    <w:p w14:paraId="41729F4B" w14:textId="77777777" w:rsidR="00D27E2F" w:rsidRPr="009A28C1" w:rsidRDefault="00D27E2F" w:rsidP="00D27E2F">
      <w:pPr>
        <w:numPr>
          <w:ilvl w:val="0"/>
          <w:numId w:val="7"/>
        </w:numPr>
        <w:rPr>
          <w:rFonts w:ascii="Times New Roman" w:hAnsi="Times New Roman" w:cs="Times New Roman"/>
          <w:sz w:val="24"/>
          <w:szCs w:val="24"/>
        </w:rPr>
      </w:pPr>
      <w:r w:rsidRPr="009A28C1">
        <w:rPr>
          <w:rFonts w:ascii="Times New Roman" w:hAnsi="Times New Roman" w:cs="Times New Roman"/>
          <w:b/>
          <w:bCs/>
          <w:sz w:val="24"/>
          <w:szCs w:val="24"/>
        </w:rPr>
        <w:t>Power Development Plan #8</w:t>
      </w:r>
      <w:r w:rsidRPr="009A28C1">
        <w:rPr>
          <w:rFonts w:ascii="Times New Roman" w:hAnsi="Times New Roman" w:cs="Times New Roman"/>
          <w:sz w:val="24"/>
          <w:szCs w:val="24"/>
        </w:rPr>
        <w:t xml:space="preserve">: A private sector contribution to the design and implementation of the new plan is essential. </w:t>
      </w:r>
    </w:p>
    <w:p w14:paraId="298B1071" w14:textId="15215937" w:rsidR="00D27E2F" w:rsidRPr="009A28C1" w:rsidRDefault="009A28C1" w:rsidP="00D27E2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Over-all </w:t>
      </w:r>
      <w:r w:rsidR="00D27E2F" w:rsidRPr="009A28C1">
        <w:rPr>
          <w:rFonts w:ascii="Times New Roman" w:hAnsi="Times New Roman" w:cs="Times New Roman"/>
          <w:b/>
          <w:bCs/>
          <w:sz w:val="24"/>
          <w:szCs w:val="24"/>
        </w:rPr>
        <w:t>Recommendation:</w:t>
      </w:r>
      <w:r w:rsidR="00D27E2F" w:rsidRPr="009A28C1">
        <w:rPr>
          <w:rFonts w:ascii="Times New Roman" w:hAnsi="Times New Roman" w:cs="Times New Roman"/>
          <w:sz w:val="24"/>
          <w:szCs w:val="24"/>
        </w:rPr>
        <w:t xml:space="preserve"> include VBF and the other Vietnamese and International private sector representative groups in all these policy and planning processes and begin </w:t>
      </w:r>
      <w:r w:rsidR="00D27E2F" w:rsidRPr="009A28C1">
        <w:rPr>
          <w:rFonts w:ascii="Times New Roman" w:hAnsi="Times New Roman" w:cs="Times New Roman"/>
          <w:b/>
          <w:bCs/>
          <w:sz w:val="24"/>
          <w:szCs w:val="24"/>
        </w:rPr>
        <w:t>Development through Private Sector Partnership.</w:t>
      </w:r>
    </w:p>
    <w:p w14:paraId="3E2860FF" w14:textId="77777777" w:rsidR="00D27E2F" w:rsidRPr="00DB5113" w:rsidRDefault="00D27E2F" w:rsidP="00DB5113">
      <w:pPr>
        <w:shd w:val="clear" w:color="auto" w:fill="FFFFFF"/>
        <w:spacing w:line="288" w:lineRule="atLeast"/>
        <w:ind w:left="720"/>
        <w:rPr>
          <w:rFonts w:ascii="Calibri" w:eastAsia="Times New Roman" w:hAnsi="Calibri" w:cs="Calibri"/>
          <w:color w:val="222222"/>
        </w:rPr>
      </w:pPr>
    </w:p>
    <w:p w14:paraId="020B2013" w14:textId="77777777" w:rsidR="006F2DFF" w:rsidRDefault="006F2DFF"/>
    <w:sectPr w:rsidR="006F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AB"/>
    <w:multiLevelType w:val="hybridMultilevel"/>
    <w:tmpl w:val="DFEE72A8"/>
    <w:lvl w:ilvl="0" w:tplc="0668462C">
      <w:start w:val="1"/>
      <w:numFmt w:val="bullet"/>
      <w:lvlText w:val=""/>
      <w:lvlJc w:val="left"/>
      <w:pPr>
        <w:tabs>
          <w:tab w:val="num" w:pos="720"/>
        </w:tabs>
        <w:ind w:left="720" w:hanging="360"/>
      </w:pPr>
      <w:rPr>
        <w:rFonts w:ascii="Wingdings" w:hAnsi="Wingdings" w:hint="default"/>
      </w:rPr>
    </w:lvl>
    <w:lvl w:ilvl="1" w:tplc="92625F1C" w:tentative="1">
      <w:start w:val="1"/>
      <w:numFmt w:val="bullet"/>
      <w:lvlText w:val=""/>
      <w:lvlJc w:val="left"/>
      <w:pPr>
        <w:tabs>
          <w:tab w:val="num" w:pos="1440"/>
        </w:tabs>
        <w:ind w:left="1440" w:hanging="360"/>
      </w:pPr>
      <w:rPr>
        <w:rFonts w:ascii="Wingdings" w:hAnsi="Wingdings" w:hint="default"/>
      </w:rPr>
    </w:lvl>
    <w:lvl w:ilvl="2" w:tplc="3FD65288" w:tentative="1">
      <w:start w:val="1"/>
      <w:numFmt w:val="bullet"/>
      <w:lvlText w:val=""/>
      <w:lvlJc w:val="left"/>
      <w:pPr>
        <w:tabs>
          <w:tab w:val="num" w:pos="2160"/>
        </w:tabs>
        <w:ind w:left="2160" w:hanging="360"/>
      </w:pPr>
      <w:rPr>
        <w:rFonts w:ascii="Wingdings" w:hAnsi="Wingdings" w:hint="default"/>
      </w:rPr>
    </w:lvl>
    <w:lvl w:ilvl="3" w:tplc="950A0866" w:tentative="1">
      <w:start w:val="1"/>
      <w:numFmt w:val="bullet"/>
      <w:lvlText w:val=""/>
      <w:lvlJc w:val="left"/>
      <w:pPr>
        <w:tabs>
          <w:tab w:val="num" w:pos="2880"/>
        </w:tabs>
        <w:ind w:left="2880" w:hanging="360"/>
      </w:pPr>
      <w:rPr>
        <w:rFonts w:ascii="Wingdings" w:hAnsi="Wingdings" w:hint="default"/>
      </w:rPr>
    </w:lvl>
    <w:lvl w:ilvl="4" w:tplc="9D461BE8" w:tentative="1">
      <w:start w:val="1"/>
      <w:numFmt w:val="bullet"/>
      <w:lvlText w:val=""/>
      <w:lvlJc w:val="left"/>
      <w:pPr>
        <w:tabs>
          <w:tab w:val="num" w:pos="3600"/>
        </w:tabs>
        <w:ind w:left="3600" w:hanging="360"/>
      </w:pPr>
      <w:rPr>
        <w:rFonts w:ascii="Wingdings" w:hAnsi="Wingdings" w:hint="default"/>
      </w:rPr>
    </w:lvl>
    <w:lvl w:ilvl="5" w:tplc="D2CC6E48" w:tentative="1">
      <w:start w:val="1"/>
      <w:numFmt w:val="bullet"/>
      <w:lvlText w:val=""/>
      <w:lvlJc w:val="left"/>
      <w:pPr>
        <w:tabs>
          <w:tab w:val="num" w:pos="4320"/>
        </w:tabs>
        <w:ind w:left="4320" w:hanging="360"/>
      </w:pPr>
      <w:rPr>
        <w:rFonts w:ascii="Wingdings" w:hAnsi="Wingdings" w:hint="default"/>
      </w:rPr>
    </w:lvl>
    <w:lvl w:ilvl="6" w:tplc="4A0E4DCC" w:tentative="1">
      <w:start w:val="1"/>
      <w:numFmt w:val="bullet"/>
      <w:lvlText w:val=""/>
      <w:lvlJc w:val="left"/>
      <w:pPr>
        <w:tabs>
          <w:tab w:val="num" w:pos="5040"/>
        </w:tabs>
        <w:ind w:left="5040" w:hanging="360"/>
      </w:pPr>
      <w:rPr>
        <w:rFonts w:ascii="Wingdings" w:hAnsi="Wingdings" w:hint="default"/>
      </w:rPr>
    </w:lvl>
    <w:lvl w:ilvl="7" w:tplc="132E2258" w:tentative="1">
      <w:start w:val="1"/>
      <w:numFmt w:val="bullet"/>
      <w:lvlText w:val=""/>
      <w:lvlJc w:val="left"/>
      <w:pPr>
        <w:tabs>
          <w:tab w:val="num" w:pos="5760"/>
        </w:tabs>
        <w:ind w:left="5760" w:hanging="360"/>
      </w:pPr>
      <w:rPr>
        <w:rFonts w:ascii="Wingdings" w:hAnsi="Wingdings" w:hint="default"/>
      </w:rPr>
    </w:lvl>
    <w:lvl w:ilvl="8" w:tplc="EF1A62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C59B8"/>
    <w:multiLevelType w:val="hybridMultilevel"/>
    <w:tmpl w:val="570AB130"/>
    <w:lvl w:ilvl="0" w:tplc="C0FE5DD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52709"/>
    <w:multiLevelType w:val="multilevel"/>
    <w:tmpl w:val="809C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C3B21"/>
    <w:multiLevelType w:val="multilevel"/>
    <w:tmpl w:val="40A44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21005"/>
    <w:multiLevelType w:val="multilevel"/>
    <w:tmpl w:val="7E446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753D4"/>
    <w:multiLevelType w:val="multilevel"/>
    <w:tmpl w:val="8A125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AD1FDF"/>
    <w:multiLevelType w:val="hybridMultilevel"/>
    <w:tmpl w:val="E674A3F0"/>
    <w:lvl w:ilvl="0" w:tplc="B24A490E">
      <w:start w:val="1"/>
      <w:numFmt w:val="bullet"/>
      <w:lvlText w:val=""/>
      <w:lvlJc w:val="left"/>
      <w:pPr>
        <w:tabs>
          <w:tab w:val="num" w:pos="720"/>
        </w:tabs>
        <w:ind w:left="720" w:hanging="360"/>
      </w:pPr>
      <w:rPr>
        <w:rFonts w:ascii="Wingdings" w:hAnsi="Wingdings" w:hint="default"/>
      </w:rPr>
    </w:lvl>
    <w:lvl w:ilvl="1" w:tplc="084E06CC" w:tentative="1">
      <w:start w:val="1"/>
      <w:numFmt w:val="bullet"/>
      <w:lvlText w:val=""/>
      <w:lvlJc w:val="left"/>
      <w:pPr>
        <w:tabs>
          <w:tab w:val="num" w:pos="1440"/>
        </w:tabs>
        <w:ind w:left="1440" w:hanging="360"/>
      </w:pPr>
      <w:rPr>
        <w:rFonts w:ascii="Wingdings" w:hAnsi="Wingdings" w:hint="default"/>
      </w:rPr>
    </w:lvl>
    <w:lvl w:ilvl="2" w:tplc="07E0799E" w:tentative="1">
      <w:start w:val="1"/>
      <w:numFmt w:val="bullet"/>
      <w:lvlText w:val=""/>
      <w:lvlJc w:val="left"/>
      <w:pPr>
        <w:tabs>
          <w:tab w:val="num" w:pos="2160"/>
        </w:tabs>
        <w:ind w:left="2160" w:hanging="360"/>
      </w:pPr>
      <w:rPr>
        <w:rFonts w:ascii="Wingdings" w:hAnsi="Wingdings" w:hint="default"/>
      </w:rPr>
    </w:lvl>
    <w:lvl w:ilvl="3" w:tplc="25BE6DE4" w:tentative="1">
      <w:start w:val="1"/>
      <w:numFmt w:val="bullet"/>
      <w:lvlText w:val=""/>
      <w:lvlJc w:val="left"/>
      <w:pPr>
        <w:tabs>
          <w:tab w:val="num" w:pos="2880"/>
        </w:tabs>
        <w:ind w:left="2880" w:hanging="360"/>
      </w:pPr>
      <w:rPr>
        <w:rFonts w:ascii="Wingdings" w:hAnsi="Wingdings" w:hint="default"/>
      </w:rPr>
    </w:lvl>
    <w:lvl w:ilvl="4" w:tplc="1C484B88" w:tentative="1">
      <w:start w:val="1"/>
      <w:numFmt w:val="bullet"/>
      <w:lvlText w:val=""/>
      <w:lvlJc w:val="left"/>
      <w:pPr>
        <w:tabs>
          <w:tab w:val="num" w:pos="3600"/>
        </w:tabs>
        <w:ind w:left="3600" w:hanging="360"/>
      </w:pPr>
      <w:rPr>
        <w:rFonts w:ascii="Wingdings" w:hAnsi="Wingdings" w:hint="default"/>
      </w:rPr>
    </w:lvl>
    <w:lvl w:ilvl="5" w:tplc="1FFEBD30" w:tentative="1">
      <w:start w:val="1"/>
      <w:numFmt w:val="bullet"/>
      <w:lvlText w:val=""/>
      <w:lvlJc w:val="left"/>
      <w:pPr>
        <w:tabs>
          <w:tab w:val="num" w:pos="4320"/>
        </w:tabs>
        <w:ind w:left="4320" w:hanging="360"/>
      </w:pPr>
      <w:rPr>
        <w:rFonts w:ascii="Wingdings" w:hAnsi="Wingdings" w:hint="default"/>
      </w:rPr>
    </w:lvl>
    <w:lvl w:ilvl="6" w:tplc="95A8F2C6" w:tentative="1">
      <w:start w:val="1"/>
      <w:numFmt w:val="bullet"/>
      <w:lvlText w:val=""/>
      <w:lvlJc w:val="left"/>
      <w:pPr>
        <w:tabs>
          <w:tab w:val="num" w:pos="5040"/>
        </w:tabs>
        <w:ind w:left="5040" w:hanging="360"/>
      </w:pPr>
      <w:rPr>
        <w:rFonts w:ascii="Wingdings" w:hAnsi="Wingdings" w:hint="default"/>
      </w:rPr>
    </w:lvl>
    <w:lvl w:ilvl="7" w:tplc="49D26260" w:tentative="1">
      <w:start w:val="1"/>
      <w:numFmt w:val="bullet"/>
      <w:lvlText w:val=""/>
      <w:lvlJc w:val="left"/>
      <w:pPr>
        <w:tabs>
          <w:tab w:val="num" w:pos="5760"/>
        </w:tabs>
        <w:ind w:left="5760" w:hanging="360"/>
      </w:pPr>
      <w:rPr>
        <w:rFonts w:ascii="Wingdings" w:hAnsi="Wingdings" w:hint="default"/>
      </w:rPr>
    </w:lvl>
    <w:lvl w:ilvl="8" w:tplc="70C6E5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5373DB"/>
    <w:multiLevelType w:val="hybridMultilevel"/>
    <w:tmpl w:val="9E02312A"/>
    <w:lvl w:ilvl="0" w:tplc="F82EA2D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27EE3"/>
    <w:multiLevelType w:val="hybridMultilevel"/>
    <w:tmpl w:val="59EE5462"/>
    <w:lvl w:ilvl="0" w:tplc="AC0A83BE">
      <w:start w:val="1"/>
      <w:numFmt w:val="bullet"/>
      <w:lvlText w:val="•"/>
      <w:lvlJc w:val="left"/>
      <w:pPr>
        <w:tabs>
          <w:tab w:val="num" w:pos="720"/>
        </w:tabs>
        <w:ind w:left="720" w:hanging="360"/>
      </w:pPr>
      <w:rPr>
        <w:rFonts w:ascii="Arial" w:hAnsi="Arial" w:hint="default"/>
      </w:rPr>
    </w:lvl>
    <w:lvl w:ilvl="1" w:tplc="904AE3AE" w:tentative="1">
      <w:start w:val="1"/>
      <w:numFmt w:val="bullet"/>
      <w:lvlText w:val="•"/>
      <w:lvlJc w:val="left"/>
      <w:pPr>
        <w:tabs>
          <w:tab w:val="num" w:pos="1440"/>
        </w:tabs>
        <w:ind w:left="1440" w:hanging="360"/>
      </w:pPr>
      <w:rPr>
        <w:rFonts w:ascii="Arial" w:hAnsi="Arial" w:hint="default"/>
      </w:rPr>
    </w:lvl>
    <w:lvl w:ilvl="2" w:tplc="3538246E" w:tentative="1">
      <w:start w:val="1"/>
      <w:numFmt w:val="bullet"/>
      <w:lvlText w:val="•"/>
      <w:lvlJc w:val="left"/>
      <w:pPr>
        <w:tabs>
          <w:tab w:val="num" w:pos="2160"/>
        </w:tabs>
        <w:ind w:left="2160" w:hanging="360"/>
      </w:pPr>
      <w:rPr>
        <w:rFonts w:ascii="Arial" w:hAnsi="Arial" w:hint="default"/>
      </w:rPr>
    </w:lvl>
    <w:lvl w:ilvl="3" w:tplc="DD4689DE" w:tentative="1">
      <w:start w:val="1"/>
      <w:numFmt w:val="bullet"/>
      <w:lvlText w:val="•"/>
      <w:lvlJc w:val="left"/>
      <w:pPr>
        <w:tabs>
          <w:tab w:val="num" w:pos="2880"/>
        </w:tabs>
        <w:ind w:left="2880" w:hanging="360"/>
      </w:pPr>
      <w:rPr>
        <w:rFonts w:ascii="Arial" w:hAnsi="Arial" w:hint="default"/>
      </w:rPr>
    </w:lvl>
    <w:lvl w:ilvl="4" w:tplc="9626D43C" w:tentative="1">
      <w:start w:val="1"/>
      <w:numFmt w:val="bullet"/>
      <w:lvlText w:val="•"/>
      <w:lvlJc w:val="left"/>
      <w:pPr>
        <w:tabs>
          <w:tab w:val="num" w:pos="3600"/>
        </w:tabs>
        <w:ind w:left="3600" w:hanging="360"/>
      </w:pPr>
      <w:rPr>
        <w:rFonts w:ascii="Arial" w:hAnsi="Arial" w:hint="default"/>
      </w:rPr>
    </w:lvl>
    <w:lvl w:ilvl="5" w:tplc="B28AEC0E" w:tentative="1">
      <w:start w:val="1"/>
      <w:numFmt w:val="bullet"/>
      <w:lvlText w:val="•"/>
      <w:lvlJc w:val="left"/>
      <w:pPr>
        <w:tabs>
          <w:tab w:val="num" w:pos="4320"/>
        </w:tabs>
        <w:ind w:left="4320" w:hanging="360"/>
      </w:pPr>
      <w:rPr>
        <w:rFonts w:ascii="Arial" w:hAnsi="Arial" w:hint="default"/>
      </w:rPr>
    </w:lvl>
    <w:lvl w:ilvl="6" w:tplc="9768D55A" w:tentative="1">
      <w:start w:val="1"/>
      <w:numFmt w:val="bullet"/>
      <w:lvlText w:val="•"/>
      <w:lvlJc w:val="left"/>
      <w:pPr>
        <w:tabs>
          <w:tab w:val="num" w:pos="5040"/>
        </w:tabs>
        <w:ind w:left="5040" w:hanging="360"/>
      </w:pPr>
      <w:rPr>
        <w:rFonts w:ascii="Arial" w:hAnsi="Arial" w:hint="default"/>
      </w:rPr>
    </w:lvl>
    <w:lvl w:ilvl="7" w:tplc="6C50A124" w:tentative="1">
      <w:start w:val="1"/>
      <w:numFmt w:val="bullet"/>
      <w:lvlText w:val="•"/>
      <w:lvlJc w:val="left"/>
      <w:pPr>
        <w:tabs>
          <w:tab w:val="num" w:pos="5760"/>
        </w:tabs>
        <w:ind w:left="5760" w:hanging="360"/>
      </w:pPr>
      <w:rPr>
        <w:rFonts w:ascii="Arial" w:hAnsi="Arial" w:hint="default"/>
      </w:rPr>
    </w:lvl>
    <w:lvl w:ilvl="8" w:tplc="585C42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8D2454"/>
    <w:multiLevelType w:val="multilevel"/>
    <w:tmpl w:val="DF6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9"/>
  </w:num>
  <w:num w:numId="6">
    <w:abstractNumId w:val="0"/>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13"/>
    <w:rsid w:val="0024588C"/>
    <w:rsid w:val="00625BD0"/>
    <w:rsid w:val="006F2DFF"/>
    <w:rsid w:val="009A28C1"/>
    <w:rsid w:val="00A753E6"/>
    <w:rsid w:val="00D27E2F"/>
    <w:rsid w:val="00DB5113"/>
    <w:rsid w:val="00E0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EEDC"/>
  <w15:chartTrackingRefBased/>
  <w15:docId w15:val="{F1172A09-AC5C-4B9F-884B-AFC569E5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88377913096140686msolistparagraph">
    <w:name w:val="m_6188377913096140686msolistparagraph"/>
    <w:basedOn w:val="Normal"/>
    <w:rsid w:val="00DB51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07633">
      <w:bodyDiv w:val="1"/>
      <w:marLeft w:val="0"/>
      <w:marRight w:val="0"/>
      <w:marTop w:val="0"/>
      <w:marBottom w:val="0"/>
      <w:divBdr>
        <w:top w:val="none" w:sz="0" w:space="0" w:color="auto"/>
        <w:left w:val="none" w:sz="0" w:space="0" w:color="auto"/>
        <w:bottom w:val="none" w:sz="0" w:space="0" w:color="auto"/>
        <w:right w:val="none" w:sz="0" w:space="0" w:color="auto"/>
      </w:divBdr>
    </w:div>
    <w:div w:id="20049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Rockhold</dc:creator>
  <cp:keywords/>
  <dc:description/>
  <cp:lastModifiedBy>John Rockhold</cp:lastModifiedBy>
  <cp:revision>1</cp:revision>
  <dcterms:created xsi:type="dcterms:W3CDTF">2018-07-02T03:41:00Z</dcterms:created>
  <dcterms:modified xsi:type="dcterms:W3CDTF">2018-07-02T04:33:00Z</dcterms:modified>
</cp:coreProperties>
</file>